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54" w:rsidRPr="00FA24EE" w:rsidRDefault="00CC4D54" w:rsidP="00FA24EE">
      <w:pPr>
        <w:numPr>
          <w:ilvl w:val="0"/>
          <w:numId w:val="1"/>
        </w:numPr>
        <w:shd w:val="clear" w:color="auto" w:fill="FFFFFF"/>
        <w:adjustRightInd/>
        <w:snapToGrid/>
        <w:spacing w:after="0" w:line="750" w:lineRule="atLeast"/>
        <w:ind w:left="0"/>
        <w:jc w:val="center"/>
        <w:rPr>
          <w:rFonts w:ascii="微软雅黑" w:cs="微软雅黑"/>
          <w:color w:val="333333"/>
          <w:sz w:val="42"/>
          <w:szCs w:val="42"/>
        </w:rPr>
      </w:pPr>
      <w:r w:rsidRPr="00FA24EE">
        <w:rPr>
          <w:rFonts w:ascii="微软雅黑" w:hAnsi="微软雅黑" w:cs="微软雅黑" w:hint="eastAsia"/>
          <w:color w:val="333333"/>
          <w:sz w:val="42"/>
          <w:szCs w:val="42"/>
        </w:rPr>
        <w:t>关于《国家税务总局关于发布</w:t>
      </w:r>
      <w:r w:rsidRPr="00FA24EE">
        <w:rPr>
          <w:rFonts w:ascii="微软雅黑" w:hAnsi="微软雅黑" w:cs="微软雅黑"/>
          <w:color w:val="333333"/>
          <w:sz w:val="42"/>
          <w:szCs w:val="42"/>
        </w:rPr>
        <w:t>&lt;</w:t>
      </w:r>
      <w:r w:rsidRPr="00FA24EE">
        <w:rPr>
          <w:rFonts w:ascii="微软雅黑" w:hAnsi="微软雅黑" w:cs="微软雅黑" w:hint="eastAsia"/>
          <w:color w:val="333333"/>
          <w:sz w:val="42"/>
          <w:szCs w:val="42"/>
        </w:rPr>
        <w:t>个人所得税扣缴申报管理办法（试行）</w:t>
      </w:r>
      <w:r w:rsidRPr="00FA24EE">
        <w:rPr>
          <w:rFonts w:ascii="微软雅黑" w:hAnsi="微软雅黑" w:cs="微软雅黑"/>
          <w:color w:val="333333"/>
          <w:sz w:val="42"/>
          <w:szCs w:val="42"/>
        </w:rPr>
        <w:t>&gt;</w:t>
      </w:r>
      <w:r w:rsidRPr="00FA24EE">
        <w:rPr>
          <w:rFonts w:ascii="微软雅黑" w:hAnsi="微软雅黑" w:cs="微软雅黑" w:hint="eastAsia"/>
          <w:color w:val="333333"/>
          <w:sz w:val="42"/>
          <w:szCs w:val="42"/>
        </w:rPr>
        <w:t>的公告》的解读</w:t>
      </w:r>
    </w:p>
    <w:p w:rsidR="00CC4D54" w:rsidRPr="00FA24EE" w:rsidRDefault="00CC4D54" w:rsidP="00FA24EE">
      <w:pPr>
        <w:numPr>
          <w:ilvl w:val="0"/>
          <w:numId w:val="1"/>
        </w:numPr>
        <w:shd w:val="clear" w:color="auto" w:fill="FFFFFF"/>
        <w:adjustRightInd/>
        <w:snapToGrid/>
        <w:spacing w:after="0" w:line="420" w:lineRule="atLeast"/>
        <w:ind w:left="0"/>
        <w:jc w:val="center"/>
        <w:rPr>
          <w:rFonts w:ascii="微软雅黑" w:hAnsi="微软雅黑" w:cs="微软雅黑"/>
          <w:color w:val="333333"/>
          <w:sz w:val="18"/>
          <w:szCs w:val="18"/>
        </w:rPr>
      </w:pPr>
      <w:r w:rsidRPr="00FA24EE">
        <w:rPr>
          <w:rFonts w:ascii="微软雅黑" w:hAnsi="微软雅黑" w:cs="微软雅黑" w:hint="eastAsia"/>
          <w:color w:val="333333"/>
          <w:sz w:val="18"/>
          <w:szCs w:val="18"/>
        </w:rPr>
        <w:t>来源：</w:t>
      </w:r>
      <w:r w:rsidRPr="00FA24EE">
        <w:rPr>
          <w:rFonts w:ascii="Arial" w:hAnsi="Arial" w:cs="Arial"/>
          <w:color w:val="333333"/>
          <w:sz w:val="18"/>
          <w:szCs w:val="18"/>
        </w:rPr>
        <w:t> </w:t>
      </w:r>
      <w:r w:rsidRPr="00FA24EE">
        <w:rPr>
          <w:rFonts w:ascii="Arial" w:hAnsi="Arial" w:cs="Arial"/>
          <w:color w:val="333333"/>
          <w:sz w:val="18"/>
          <w:szCs w:val="18"/>
        </w:rPr>
        <w:t> </w:t>
      </w:r>
      <w:r w:rsidRPr="00FA24EE">
        <w:rPr>
          <w:rFonts w:ascii="Arial" w:hAnsi="Arial" w:cs="Arial"/>
          <w:color w:val="333333"/>
          <w:sz w:val="18"/>
          <w:szCs w:val="18"/>
        </w:rPr>
        <w:t> </w:t>
      </w:r>
      <w:r w:rsidRPr="00FA24EE">
        <w:rPr>
          <w:rFonts w:ascii="Arial" w:hAnsi="Arial" w:cs="Arial"/>
          <w:color w:val="333333"/>
          <w:sz w:val="18"/>
          <w:szCs w:val="18"/>
        </w:rPr>
        <w:t> </w:t>
      </w:r>
      <w:r w:rsidRPr="00FA24EE">
        <w:rPr>
          <w:rFonts w:ascii="微软雅黑" w:hAnsi="微软雅黑" w:cs="微软雅黑"/>
          <w:color w:val="333333"/>
          <w:sz w:val="18"/>
          <w:szCs w:val="18"/>
        </w:rPr>
        <w:t>2018</w:t>
      </w:r>
      <w:r w:rsidRPr="00FA24EE">
        <w:rPr>
          <w:rFonts w:ascii="微软雅黑" w:hAnsi="微软雅黑" w:cs="微软雅黑" w:hint="eastAsia"/>
          <w:color w:val="333333"/>
          <w:sz w:val="18"/>
          <w:szCs w:val="18"/>
        </w:rPr>
        <w:t>年</w:t>
      </w:r>
      <w:r w:rsidRPr="00FA24EE">
        <w:rPr>
          <w:rFonts w:ascii="微软雅黑" w:hAnsi="微软雅黑" w:cs="微软雅黑"/>
          <w:color w:val="333333"/>
          <w:sz w:val="18"/>
          <w:szCs w:val="18"/>
        </w:rPr>
        <w:t>12</w:t>
      </w:r>
      <w:r w:rsidRPr="00FA24EE">
        <w:rPr>
          <w:rFonts w:ascii="微软雅黑" w:hAnsi="微软雅黑" w:cs="微软雅黑" w:hint="eastAsia"/>
          <w:color w:val="333333"/>
          <w:sz w:val="18"/>
          <w:szCs w:val="18"/>
        </w:rPr>
        <w:t>月</w:t>
      </w:r>
      <w:r w:rsidRPr="00FA24EE">
        <w:rPr>
          <w:rFonts w:ascii="微软雅黑" w:hAnsi="微软雅黑" w:cs="微软雅黑"/>
          <w:color w:val="333333"/>
          <w:sz w:val="18"/>
          <w:szCs w:val="18"/>
        </w:rPr>
        <w:t>22</w:t>
      </w:r>
      <w:r w:rsidRPr="00FA24EE">
        <w:rPr>
          <w:rFonts w:ascii="微软雅黑" w:hAnsi="微软雅黑" w:cs="微软雅黑" w:hint="eastAsia"/>
          <w:color w:val="333333"/>
          <w:sz w:val="18"/>
          <w:szCs w:val="18"/>
        </w:rPr>
        <w:t>日</w:t>
      </w:r>
      <w:r w:rsidRPr="00FA24EE">
        <w:rPr>
          <w:rFonts w:ascii="微软雅黑" w:hAnsi="微软雅黑" w:cs="微软雅黑"/>
          <w:color w:val="333333"/>
          <w:sz w:val="18"/>
          <w:szCs w:val="18"/>
        </w:rPr>
        <w:t xml:space="preserve"> </w:t>
      </w:r>
      <w:r w:rsidRPr="00FA24EE">
        <w:rPr>
          <w:rFonts w:ascii="微软雅黑" w:hAnsi="微软雅黑" w:cs="微软雅黑" w:hint="eastAsia"/>
          <w:color w:val="333333"/>
          <w:sz w:val="18"/>
          <w:szCs w:val="18"/>
        </w:rPr>
        <w:t>国家税务总局办公厅</w:t>
      </w:r>
      <w:r w:rsidRPr="00FA24EE">
        <w:rPr>
          <w:rFonts w:ascii="微软雅黑" w:hAnsi="微软雅黑" w:cs="微软雅黑"/>
          <w:color w:val="333333"/>
          <w:sz w:val="18"/>
          <w:szCs w:val="18"/>
        </w:rPr>
        <w:t xml:space="preserve"> </w:t>
      </w:r>
    </w:p>
    <w:p w:rsidR="00CC4D54" w:rsidRPr="00FA24EE" w:rsidRDefault="00CC4D54" w:rsidP="00FA24EE">
      <w:pPr>
        <w:shd w:val="clear" w:color="auto" w:fill="FFFFFF"/>
        <w:adjustRightInd/>
        <w:snapToGrid/>
        <w:spacing w:after="0" w:line="420" w:lineRule="atLeast"/>
        <w:jc w:val="center"/>
        <w:rPr>
          <w:rFonts w:ascii="微软雅黑" w:hAnsi="微软雅黑" w:cs="微软雅黑"/>
          <w:color w:val="333333"/>
          <w:sz w:val="18"/>
          <w:szCs w:val="18"/>
        </w:rPr>
      </w:pPr>
      <w:r w:rsidRPr="00FA24EE">
        <w:rPr>
          <w:rFonts w:ascii="微软雅黑" w:hAnsi="微软雅黑" w:cs="微软雅黑" w:hint="eastAsia"/>
          <w:color w:val="000000"/>
          <w:sz w:val="18"/>
          <w:szCs w:val="18"/>
          <w:bdr w:val="none" w:sz="0" w:space="0" w:color="auto" w:frame="1"/>
        </w:rPr>
        <w:t>【字体：</w:t>
      </w:r>
      <w:hyperlink r:id="rId5" w:history="1">
        <w:r w:rsidRPr="00FA24EE">
          <w:rPr>
            <w:rFonts w:ascii="微软雅黑" w:hAnsi="微软雅黑" w:cs="微软雅黑" w:hint="eastAsia"/>
            <w:color w:val="333333"/>
            <w:sz w:val="18"/>
            <w:szCs w:val="18"/>
          </w:rPr>
          <w:t>大</w:t>
        </w:r>
      </w:hyperlink>
      <w:r w:rsidRPr="00FA24EE">
        <w:rPr>
          <w:rFonts w:ascii="微软雅黑" w:hAnsi="微软雅黑" w:cs="微软雅黑"/>
          <w:color w:val="000000"/>
          <w:sz w:val="18"/>
          <w:szCs w:val="18"/>
          <w:bdr w:val="none" w:sz="0" w:space="0" w:color="auto" w:frame="1"/>
        </w:rPr>
        <w:t xml:space="preserve"> </w:t>
      </w:r>
      <w:hyperlink r:id="rId6" w:history="1">
        <w:r w:rsidRPr="00FA24EE">
          <w:rPr>
            <w:rFonts w:ascii="微软雅黑" w:hAnsi="微软雅黑" w:cs="微软雅黑" w:hint="eastAsia"/>
            <w:color w:val="333333"/>
            <w:sz w:val="18"/>
            <w:szCs w:val="18"/>
          </w:rPr>
          <w:t>中</w:t>
        </w:r>
      </w:hyperlink>
      <w:r w:rsidRPr="00FA24EE">
        <w:rPr>
          <w:rFonts w:ascii="微软雅黑" w:hAnsi="微软雅黑" w:cs="微软雅黑"/>
          <w:color w:val="000000"/>
          <w:sz w:val="18"/>
          <w:szCs w:val="18"/>
          <w:bdr w:val="none" w:sz="0" w:space="0" w:color="auto" w:frame="1"/>
        </w:rPr>
        <w:t xml:space="preserve"> </w:t>
      </w:r>
      <w:hyperlink r:id="rId7" w:history="1">
        <w:r w:rsidRPr="00FA24EE">
          <w:rPr>
            <w:rFonts w:ascii="微软雅黑" w:hAnsi="微软雅黑" w:cs="微软雅黑" w:hint="eastAsia"/>
            <w:color w:val="333333"/>
            <w:sz w:val="18"/>
            <w:szCs w:val="18"/>
          </w:rPr>
          <w:t>小</w:t>
        </w:r>
      </w:hyperlink>
      <w:r w:rsidRPr="00FA24EE">
        <w:rPr>
          <w:rFonts w:ascii="微软雅黑" w:hAnsi="微软雅黑" w:cs="微软雅黑" w:hint="eastAsia"/>
          <w:color w:val="000000"/>
          <w:sz w:val="18"/>
          <w:szCs w:val="18"/>
          <w:bdr w:val="none" w:sz="0" w:space="0" w:color="auto" w:frame="1"/>
        </w:rPr>
        <w:t>】</w:t>
      </w:r>
      <w:r w:rsidRPr="00FA24EE">
        <w:rPr>
          <w:rFonts w:ascii="微软雅黑" w:hAnsi="微软雅黑" w:cs="微软雅黑"/>
          <w:color w:val="333333"/>
          <w:sz w:val="18"/>
          <w:szCs w:val="18"/>
        </w:rPr>
        <w:t xml:space="preserve"> </w:t>
      </w:r>
      <w:hyperlink r:id="rId8" w:history="1">
        <w:r w:rsidRPr="00FA24EE">
          <w:rPr>
            <w:rFonts w:ascii="微软雅黑" w:hAnsi="微软雅黑" w:cs="微软雅黑" w:hint="eastAsia"/>
            <w:color w:val="333333"/>
            <w:sz w:val="18"/>
            <w:szCs w:val="18"/>
          </w:rPr>
          <w:t>打印本页</w:t>
        </w:r>
      </w:hyperlink>
      <w:r w:rsidRPr="00FA24EE">
        <w:rPr>
          <w:rFonts w:ascii="微软雅黑" w:hAnsi="微软雅黑" w:cs="微软雅黑"/>
          <w:color w:val="333333"/>
          <w:sz w:val="18"/>
          <w:szCs w:val="18"/>
        </w:rPr>
        <w:t xml:space="preserve"> </w:t>
      </w:r>
    </w:p>
    <w:p w:rsidR="00CC4D54" w:rsidRPr="00FA24EE" w:rsidRDefault="00CC4D54" w:rsidP="00FA24EE">
      <w:pPr>
        <w:shd w:val="clear" w:color="auto" w:fill="FFFFFF"/>
        <w:adjustRightInd/>
        <w:snapToGrid/>
        <w:spacing w:after="0" w:line="420" w:lineRule="atLeast"/>
        <w:jc w:val="center"/>
        <w:rPr>
          <w:rFonts w:ascii="微软雅黑" w:cs="微软雅黑"/>
          <w:color w:val="333333"/>
          <w:sz w:val="18"/>
          <w:szCs w:val="18"/>
        </w:rPr>
      </w:pPr>
      <w:hyperlink r:id="rId9" w:tooltip="分享到微信" w:history="1"/>
      <w:hyperlink r:id="rId10" w:tooltip="分享到新浪微博" w:history="1"/>
      <w:hyperlink r:id="rId11" w:tooltip="分享到QQ空间" w:history="1"/>
    </w:p>
    <w:p w:rsidR="00CC4D54" w:rsidRPr="00FA24EE" w:rsidRDefault="00CC4D54" w:rsidP="00FA24EE">
      <w:pPr>
        <w:numPr>
          <w:ilvl w:val="0"/>
          <w:numId w:val="1"/>
        </w:numPr>
        <w:pBdr>
          <w:bottom w:val="single" w:sz="6" w:space="0" w:color="F0F0F0"/>
        </w:pBdr>
        <w:shd w:val="clear" w:color="auto" w:fill="FFFFFF"/>
        <w:adjustRightInd/>
        <w:snapToGrid/>
        <w:spacing w:before="300" w:after="300" w:line="420" w:lineRule="atLeast"/>
        <w:ind w:left="0"/>
        <w:rPr>
          <w:rFonts w:ascii="微软雅黑" w:cs="微软雅黑"/>
          <w:color w:val="333333"/>
          <w:sz w:val="18"/>
          <w:szCs w:val="18"/>
        </w:rPr>
      </w:pPr>
      <w:r w:rsidRPr="00FA24EE">
        <w:rPr>
          <w:rFonts w:ascii="微软雅黑" w:cs="微软雅黑" w:hint="eastAsia"/>
          <w:color w:val="333333"/>
          <w:sz w:val="18"/>
          <w:szCs w:val="18"/>
        </w:rPr>
        <w:pict/>
      </w:r>
    </w:p>
    <w:p w:rsidR="00CC4D54" w:rsidRPr="00FA24EE" w:rsidRDefault="00CC4D54" w:rsidP="00FA24EE">
      <w:pPr>
        <w:numPr>
          <w:ilvl w:val="0"/>
          <w:numId w:val="1"/>
        </w:numPr>
        <w:shd w:val="clear" w:color="auto" w:fill="FFFFFF"/>
        <w:adjustRightInd/>
        <w:snapToGrid/>
        <w:spacing w:after="0" w:line="540" w:lineRule="atLeast"/>
        <w:ind w:left="0"/>
        <w:rPr>
          <w:rFonts w:ascii="宋体" w:eastAsia="宋体" w:hAnsi="宋体" w:cs="Times New Roman"/>
          <w:color w:val="333333"/>
          <w:sz w:val="24"/>
          <w:szCs w:val="24"/>
        </w:rPr>
      </w:pPr>
      <w:r w:rsidRPr="00FA24EE">
        <w:rPr>
          <w:rFonts w:ascii="宋体" w:eastAsia="宋体" w:hAnsi="宋体" w:cs="宋体" w:hint="eastAsia"/>
          <w:color w:val="333333"/>
          <w:sz w:val="24"/>
          <w:szCs w:val="24"/>
        </w:rPr>
        <w:t xml:space="preserve">　　现就《国家税务总局关于发布</w:t>
      </w:r>
      <w:r w:rsidRPr="00FA24EE">
        <w:rPr>
          <w:rFonts w:ascii="宋体" w:eastAsia="宋体" w:hAnsi="宋体" w:cs="宋体"/>
          <w:color w:val="333333"/>
          <w:sz w:val="24"/>
          <w:szCs w:val="24"/>
        </w:rPr>
        <w:t>&lt;</w:t>
      </w:r>
      <w:r w:rsidRPr="00FA24EE">
        <w:rPr>
          <w:rFonts w:ascii="宋体" w:eastAsia="宋体" w:hAnsi="宋体" w:cs="宋体" w:hint="eastAsia"/>
          <w:color w:val="333333"/>
          <w:sz w:val="24"/>
          <w:szCs w:val="24"/>
        </w:rPr>
        <w:t>个人所得税扣缴申报管理办法（试行）</w:t>
      </w:r>
      <w:r w:rsidRPr="00FA24EE">
        <w:rPr>
          <w:rFonts w:ascii="宋体" w:eastAsia="宋体" w:hAnsi="宋体" w:cs="宋体"/>
          <w:color w:val="333333"/>
          <w:sz w:val="24"/>
          <w:szCs w:val="24"/>
        </w:rPr>
        <w:t>&gt;</w:t>
      </w:r>
      <w:r w:rsidRPr="00FA24EE">
        <w:rPr>
          <w:rFonts w:ascii="宋体" w:eastAsia="宋体" w:hAnsi="宋体" w:cs="宋体" w:hint="eastAsia"/>
          <w:color w:val="333333"/>
          <w:sz w:val="24"/>
          <w:szCs w:val="24"/>
        </w:rPr>
        <w:t>的公告》（以下简称《公告》）有关内容解读如下：</w:t>
      </w:r>
      <w:r w:rsidRPr="00FA24EE">
        <w:rPr>
          <w:rFonts w:ascii="宋体" w:eastAsia="宋体" w:hAnsi="宋体" w:cs="Times New Roman"/>
          <w:color w:val="333333"/>
          <w:sz w:val="24"/>
          <w:szCs w:val="24"/>
        </w:rPr>
        <w:br/>
      </w:r>
      <w:r w:rsidRPr="00FA24EE">
        <w:rPr>
          <w:rFonts w:ascii="宋体" w:eastAsia="宋体" w:hAnsi="宋体" w:cs="宋体" w:hint="eastAsia"/>
          <w:b/>
          <w:bCs/>
          <w:color w:val="333333"/>
          <w:sz w:val="24"/>
          <w:szCs w:val="24"/>
        </w:rPr>
        <w:t xml:space="preserve">　　一、公告背景</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w:t>
      </w:r>
      <w:r w:rsidRPr="00FA24EE">
        <w:rPr>
          <w:rFonts w:ascii="宋体" w:eastAsia="宋体" w:hAnsi="宋体" w:cs="宋体"/>
          <w:color w:val="333333"/>
          <w:sz w:val="24"/>
          <w:szCs w:val="24"/>
        </w:rPr>
        <w:t>2018</w:t>
      </w:r>
      <w:r w:rsidRPr="00FA24EE">
        <w:rPr>
          <w:rFonts w:ascii="宋体" w:eastAsia="宋体" w:hAnsi="宋体" w:cs="宋体" w:hint="eastAsia"/>
          <w:color w:val="333333"/>
          <w:sz w:val="24"/>
          <w:szCs w:val="24"/>
        </w:rPr>
        <w:t>年</w:t>
      </w:r>
      <w:r w:rsidRPr="00FA24EE">
        <w:rPr>
          <w:rFonts w:ascii="宋体" w:eastAsia="宋体" w:hAnsi="宋体" w:cs="宋体"/>
          <w:color w:val="333333"/>
          <w:sz w:val="24"/>
          <w:szCs w:val="24"/>
        </w:rPr>
        <w:t>8</w:t>
      </w:r>
      <w:r w:rsidRPr="00FA24EE">
        <w:rPr>
          <w:rFonts w:ascii="宋体" w:eastAsia="宋体" w:hAnsi="宋体" w:cs="宋体" w:hint="eastAsia"/>
          <w:color w:val="333333"/>
          <w:sz w:val="24"/>
          <w:szCs w:val="24"/>
        </w:rPr>
        <w:t>月</w:t>
      </w:r>
      <w:r w:rsidRPr="00FA24EE">
        <w:rPr>
          <w:rFonts w:ascii="宋体" w:eastAsia="宋体" w:hAnsi="宋体" w:cs="宋体"/>
          <w:color w:val="333333"/>
          <w:sz w:val="24"/>
          <w:szCs w:val="24"/>
        </w:rPr>
        <w:t>31</w:t>
      </w:r>
      <w:r w:rsidRPr="00FA24EE">
        <w:rPr>
          <w:rFonts w:ascii="宋体" w:eastAsia="宋体" w:hAnsi="宋体" w:cs="宋体" w:hint="eastAsia"/>
          <w:color w:val="333333"/>
          <w:sz w:val="24"/>
          <w:szCs w:val="24"/>
        </w:rPr>
        <w:t>日，第十三届全国人民代表大会常务委员会第五次会议通过了《全国人民代表大会常务委员会关于修改＜中华人民共和国个人所得税法＞的决定》，明确综合与分类相结合的个人所得税制将于</w:t>
      </w:r>
      <w:r w:rsidRPr="00FA24EE">
        <w:rPr>
          <w:rFonts w:ascii="宋体" w:eastAsia="宋体" w:hAnsi="宋体" w:cs="宋体"/>
          <w:color w:val="333333"/>
          <w:sz w:val="24"/>
          <w:szCs w:val="24"/>
        </w:rPr>
        <w:t>2019</w:t>
      </w:r>
      <w:r w:rsidRPr="00FA24EE">
        <w:rPr>
          <w:rFonts w:ascii="宋体" w:eastAsia="宋体" w:hAnsi="宋体" w:cs="宋体" w:hint="eastAsia"/>
          <w:color w:val="333333"/>
          <w:sz w:val="24"/>
          <w:szCs w:val="24"/>
        </w:rPr>
        <w:t>年</w:t>
      </w:r>
      <w:r w:rsidRPr="00FA24EE">
        <w:rPr>
          <w:rFonts w:ascii="宋体" w:eastAsia="宋体" w:hAnsi="宋体" w:cs="宋体"/>
          <w:color w:val="333333"/>
          <w:sz w:val="24"/>
          <w:szCs w:val="24"/>
        </w:rPr>
        <w:t>1</w:t>
      </w:r>
      <w:r w:rsidRPr="00FA24EE">
        <w:rPr>
          <w:rFonts w:ascii="宋体" w:eastAsia="宋体" w:hAnsi="宋体" w:cs="宋体" w:hint="eastAsia"/>
          <w:color w:val="333333"/>
          <w:sz w:val="24"/>
          <w:szCs w:val="24"/>
        </w:rPr>
        <w:t>月</w:t>
      </w:r>
      <w:r w:rsidRPr="00FA24EE">
        <w:rPr>
          <w:rFonts w:ascii="宋体" w:eastAsia="宋体" w:hAnsi="宋体" w:cs="宋体"/>
          <w:color w:val="333333"/>
          <w:sz w:val="24"/>
          <w:szCs w:val="24"/>
        </w:rPr>
        <w:t>1</w:t>
      </w:r>
      <w:r w:rsidRPr="00FA24EE">
        <w:rPr>
          <w:rFonts w:ascii="宋体" w:eastAsia="宋体" w:hAnsi="宋体" w:cs="宋体" w:hint="eastAsia"/>
          <w:color w:val="333333"/>
          <w:sz w:val="24"/>
          <w:szCs w:val="24"/>
        </w:rPr>
        <w:t>日起施行。新修改的个人所得税法规定：扣缴义务人支付所得时，应当按月或者按次代扣代缴税款</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并办理全员全额扣缴申报；居民纳税人取得综合所得有扣缴义务人的，由扣缴义务人按月或者按次预扣预缴税款；预扣预缴办法由国务院税务主管部门制定。为全面贯彻落实修改后的个人所得税法及其实施条例，明确预扣、代扣税款的有关规定，税务总局制发了《公告》。</w:t>
      </w:r>
      <w:r w:rsidRPr="00FA24EE">
        <w:rPr>
          <w:rFonts w:ascii="宋体" w:eastAsia="宋体" w:hAnsi="宋体" w:cs="Times New Roman"/>
          <w:color w:val="333333"/>
          <w:sz w:val="24"/>
          <w:szCs w:val="24"/>
        </w:rPr>
        <w:br/>
      </w:r>
      <w:r w:rsidRPr="00FA24EE">
        <w:rPr>
          <w:rFonts w:ascii="宋体" w:eastAsia="宋体" w:hAnsi="宋体" w:cs="宋体" w:hint="eastAsia"/>
          <w:b/>
          <w:bCs/>
          <w:color w:val="333333"/>
          <w:sz w:val="24"/>
          <w:szCs w:val="24"/>
        </w:rPr>
        <w:t xml:space="preserve">　　二、公告主要内容</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（一）居民个人工资、薪金所得预扣预缴税款的方法</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扣缴义务人向居民个人支付工资、薪金所得时，按照累计预扣法计算预扣税款，并按月办理扣缴申报。累计预扣法，是指扣缴义务人在一个纳税年度内预扣预缴税款时，以纳税人在本单位截至本月取得工资、薪金所得累计收入减除累计免税收入、累计减除费用、累计专项扣除、累计专项附加扣除和累计依法确定的其他扣除后的余额为累计预扣预缴应纳税所得额，适用个人所得税预扣率表一（见下表），计算累计应预扣预缴税额，再减除累计减免税额和累计已预扣预缴税额，其余额为本期应预扣预缴税额。余额为负值时，暂不退税。纳税年度终了后余额仍为负值时，由纳税人通过办理综合所得年度汇算清缴，税款多退少补。具体计算公式如下：</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本期应预扣预缴税额</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（累计预扣预缴应纳税所得额×预扣率</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速算扣除数</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累计减免税额</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累计已预扣预缴税额</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累计预扣预缴应纳税所得额</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累计收入</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累计免税收入</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累计减除费用</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累计专项扣除</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累计专项附加扣除</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累计依法确定的其他扣除</w:t>
      </w:r>
    </w:p>
    <w:p w:rsidR="00CC4D54" w:rsidRPr="00FA24EE" w:rsidRDefault="00CC4D54" w:rsidP="00FA24EE">
      <w:pPr>
        <w:shd w:val="clear" w:color="auto" w:fill="FFFFFF"/>
        <w:adjustRightInd/>
        <w:snapToGrid/>
        <w:spacing w:after="0" w:line="540" w:lineRule="atLeast"/>
        <w:rPr>
          <w:rFonts w:ascii="宋体" w:eastAsia="宋体" w:hAnsi="宋体" w:cs="Times New Roman"/>
          <w:color w:val="333333"/>
          <w:sz w:val="24"/>
          <w:szCs w:val="24"/>
        </w:rPr>
      </w:pPr>
    </w:p>
    <w:p w:rsidR="00CC4D54" w:rsidRPr="00FA24EE" w:rsidRDefault="00CC4D54" w:rsidP="00FA24EE">
      <w:pPr>
        <w:shd w:val="clear" w:color="auto" w:fill="FFFFFF"/>
        <w:adjustRightInd/>
        <w:snapToGrid/>
        <w:spacing w:after="0" w:line="540" w:lineRule="atLeast"/>
        <w:jc w:val="center"/>
        <w:rPr>
          <w:rFonts w:ascii="宋体" w:eastAsia="宋体" w:hAnsi="宋体" w:cs="Times New Roman"/>
          <w:color w:val="333333"/>
          <w:sz w:val="24"/>
          <w:szCs w:val="24"/>
        </w:rPr>
      </w:pPr>
      <w:r w:rsidRPr="00FA24EE">
        <w:rPr>
          <w:rFonts w:ascii="宋体" w:eastAsia="宋体" w:hAnsi="宋体" w:cs="宋体" w:hint="eastAsia"/>
          <w:color w:val="333333"/>
          <w:sz w:val="24"/>
          <w:szCs w:val="24"/>
        </w:rPr>
        <w:t>个人所得税预扣率表一</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（居民个人工资、薪金所得预扣预缴适用）</w:t>
      </w:r>
    </w:p>
    <w:tbl>
      <w:tblPr>
        <w:tblW w:w="8619" w:type="dxa"/>
        <w:jc w:val="center"/>
        <w:tblCellMar>
          <w:left w:w="0" w:type="dxa"/>
          <w:right w:w="0" w:type="dxa"/>
        </w:tblCellMar>
        <w:tblLook w:val="0000"/>
      </w:tblPr>
      <w:tblGrid>
        <w:gridCol w:w="1408"/>
        <w:gridCol w:w="3819"/>
        <w:gridCol w:w="1608"/>
        <w:gridCol w:w="1784"/>
      </w:tblGrid>
      <w:tr w:rsidR="00CC4D54" w:rsidRPr="00FA24EE" w:rsidTr="00FA24EE">
        <w:trPr>
          <w:trHeight w:val="397"/>
          <w:jc w:val="cent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级数</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累计预扣预缴应纳税所得额</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预扣率（</w:t>
            </w:r>
            <w:r w:rsidRPr="00FA24EE">
              <w:rPr>
                <w:rFonts w:ascii="宋体" w:eastAsia="宋体" w:hAnsi="宋体" w:cs="宋体"/>
                <w:b/>
                <w:bCs/>
                <w:color w:val="333333"/>
                <w:sz w:val="24"/>
                <w:szCs w:val="24"/>
                <w:bdr w:val="none" w:sz="0" w:space="0" w:color="auto" w:frame="1"/>
              </w:rPr>
              <w:t>%</w:t>
            </w:r>
            <w:r w:rsidRPr="00FA24EE">
              <w:rPr>
                <w:rFonts w:ascii="宋体" w:eastAsia="宋体" w:hAnsi="宋体" w:cs="宋体" w:hint="eastAsia"/>
                <w:b/>
                <w:bCs/>
                <w:color w:val="333333"/>
                <w:sz w:val="24"/>
                <w:szCs w:val="24"/>
                <w:bdr w:val="none" w:sz="0" w:space="0" w:color="auto" w:frame="1"/>
              </w:rPr>
              <w:t>）</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速算扣除数</w:t>
            </w:r>
          </w:p>
        </w:tc>
      </w:tr>
      <w:tr w:rsidR="00CC4D54" w:rsidRPr="00FA24EE" w:rsidTr="00FA24EE">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1</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不超过</w:t>
            </w:r>
            <w:r w:rsidRPr="00FA24EE">
              <w:rPr>
                <w:rFonts w:ascii="宋体" w:eastAsia="宋体" w:hAnsi="宋体" w:cs="宋体"/>
                <w:color w:val="333333"/>
                <w:sz w:val="21"/>
                <w:szCs w:val="21"/>
                <w:bdr w:val="none" w:sz="0" w:space="0" w:color="auto" w:frame="1"/>
              </w:rPr>
              <w:t>36000</w:t>
            </w:r>
            <w:r w:rsidRPr="00FA24EE">
              <w:rPr>
                <w:rFonts w:ascii="宋体" w:eastAsia="宋体" w:hAnsi="宋体" w:cs="宋体" w:hint="eastAsia"/>
                <w:color w:val="333333"/>
                <w:sz w:val="21"/>
                <w:szCs w:val="21"/>
                <w:bdr w:val="none" w:sz="0" w:space="0" w:color="auto" w:frame="1"/>
              </w:rPr>
              <w:t>元的</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0</w:t>
            </w:r>
          </w:p>
        </w:tc>
      </w:tr>
      <w:tr w:rsidR="00CC4D54" w:rsidRPr="00FA24EE" w:rsidTr="00FA24EE">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36000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144000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10</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2520</w:t>
            </w:r>
          </w:p>
        </w:tc>
      </w:tr>
      <w:tr w:rsidR="00CC4D54" w:rsidRPr="00FA24EE" w:rsidTr="00FA24EE">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144000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300000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20</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16920</w:t>
            </w:r>
          </w:p>
        </w:tc>
      </w:tr>
      <w:tr w:rsidR="00CC4D54" w:rsidRPr="00FA24EE" w:rsidTr="00FA24EE">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4</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300000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420000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31920</w:t>
            </w:r>
          </w:p>
        </w:tc>
      </w:tr>
      <w:tr w:rsidR="00CC4D54" w:rsidRPr="00FA24EE" w:rsidTr="00FA24EE">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5</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420000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660000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30</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52920</w:t>
            </w:r>
          </w:p>
        </w:tc>
      </w:tr>
      <w:tr w:rsidR="00CC4D54" w:rsidRPr="00FA24EE" w:rsidTr="00FA24EE">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6</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660000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960000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85920</w:t>
            </w:r>
          </w:p>
        </w:tc>
      </w:tr>
      <w:tr w:rsidR="00CC4D54" w:rsidRPr="00FA24EE" w:rsidTr="00FA24EE">
        <w:trPr>
          <w:trHeight w:val="397"/>
          <w:jc w:val="center"/>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7</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960000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45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181920</w:t>
            </w:r>
          </w:p>
        </w:tc>
      </w:tr>
    </w:tbl>
    <w:p w:rsidR="00CC4D54" w:rsidRPr="00FA24EE" w:rsidRDefault="00CC4D54" w:rsidP="00FA24EE">
      <w:pPr>
        <w:shd w:val="clear" w:color="auto" w:fill="FFFFFF"/>
        <w:adjustRightInd/>
        <w:snapToGrid/>
        <w:spacing w:after="0" w:line="540" w:lineRule="atLeast"/>
        <w:rPr>
          <w:rFonts w:ascii="宋体" w:eastAsia="宋体" w:hAnsi="宋体" w:cs="Times New Roman"/>
          <w:color w:val="333333"/>
          <w:sz w:val="24"/>
          <w:szCs w:val="24"/>
        </w:rPr>
      </w:pPr>
    </w:p>
    <w:p w:rsidR="00CC4D54" w:rsidRPr="00FA24EE" w:rsidRDefault="00CC4D54" w:rsidP="00FA24EE">
      <w:pPr>
        <w:shd w:val="clear" w:color="auto" w:fill="FFFFFF"/>
        <w:adjustRightInd/>
        <w:snapToGrid/>
        <w:spacing w:after="0" w:line="540" w:lineRule="atLeast"/>
        <w:rPr>
          <w:rFonts w:ascii="宋体" w:eastAsia="宋体" w:hAnsi="宋体" w:cs="Times New Roman"/>
          <w:color w:val="333333"/>
          <w:sz w:val="24"/>
          <w:szCs w:val="24"/>
        </w:rPr>
      </w:pPr>
      <w:r w:rsidRPr="00FA24EE">
        <w:rPr>
          <w:rFonts w:ascii="宋体" w:eastAsia="宋体" w:hAnsi="宋体" w:cs="宋体" w:hint="eastAsia"/>
          <w:color w:val="333333"/>
          <w:sz w:val="24"/>
          <w:szCs w:val="24"/>
        </w:rPr>
        <w:t xml:space="preserve">　　其中：累计减除费用，按照</w:t>
      </w:r>
      <w:r w:rsidRPr="00FA24EE">
        <w:rPr>
          <w:rFonts w:ascii="宋体" w:eastAsia="宋体" w:hAnsi="宋体" w:cs="宋体"/>
          <w:color w:val="333333"/>
          <w:sz w:val="24"/>
          <w:szCs w:val="24"/>
        </w:rPr>
        <w:t>5000</w:t>
      </w:r>
      <w:r w:rsidRPr="00FA24EE">
        <w:rPr>
          <w:rFonts w:ascii="宋体" w:eastAsia="宋体" w:hAnsi="宋体" w:cs="宋体" w:hint="eastAsia"/>
          <w:color w:val="333333"/>
          <w:sz w:val="24"/>
          <w:szCs w:val="24"/>
        </w:rPr>
        <w:t>元</w:t>
      </w:r>
      <w:r w:rsidRPr="00FA24EE">
        <w:rPr>
          <w:rFonts w:ascii="宋体" w:eastAsia="宋体" w:hAnsi="宋体" w:cs="宋体"/>
          <w:color w:val="333333"/>
          <w:sz w:val="24"/>
          <w:szCs w:val="24"/>
        </w:rPr>
        <w:t>/</w:t>
      </w:r>
      <w:r w:rsidRPr="00FA24EE">
        <w:rPr>
          <w:rFonts w:ascii="宋体" w:eastAsia="宋体" w:hAnsi="宋体" w:cs="宋体" w:hint="eastAsia"/>
          <w:color w:val="333333"/>
          <w:sz w:val="24"/>
          <w:szCs w:val="24"/>
        </w:rPr>
        <w:t>月乘以纳税人当年截至本月在本单位的任职受雇月份数计算。即纳税人如果</w:t>
      </w:r>
      <w:r w:rsidRPr="00FA24EE">
        <w:rPr>
          <w:rFonts w:ascii="宋体" w:eastAsia="宋体" w:hAnsi="宋体" w:cs="宋体"/>
          <w:color w:val="333333"/>
          <w:sz w:val="24"/>
          <w:szCs w:val="24"/>
        </w:rPr>
        <w:t>5</w:t>
      </w:r>
      <w:r w:rsidRPr="00FA24EE">
        <w:rPr>
          <w:rFonts w:ascii="宋体" w:eastAsia="宋体" w:hAnsi="宋体" w:cs="宋体" w:hint="eastAsia"/>
          <w:color w:val="333333"/>
          <w:sz w:val="24"/>
          <w:szCs w:val="24"/>
        </w:rPr>
        <w:t>月份入职，则扣缴义务人发放</w:t>
      </w:r>
      <w:r w:rsidRPr="00FA24EE">
        <w:rPr>
          <w:rFonts w:ascii="宋体" w:eastAsia="宋体" w:hAnsi="宋体" w:cs="宋体"/>
          <w:color w:val="333333"/>
          <w:sz w:val="24"/>
          <w:szCs w:val="24"/>
        </w:rPr>
        <w:t>5</w:t>
      </w:r>
      <w:r w:rsidRPr="00FA24EE">
        <w:rPr>
          <w:rFonts w:ascii="宋体" w:eastAsia="宋体" w:hAnsi="宋体" w:cs="宋体" w:hint="eastAsia"/>
          <w:color w:val="333333"/>
          <w:sz w:val="24"/>
          <w:szCs w:val="24"/>
        </w:rPr>
        <w:t>月份工资扣缴税款时，减除费用按</w:t>
      </w:r>
      <w:r w:rsidRPr="00FA24EE">
        <w:rPr>
          <w:rFonts w:ascii="宋体" w:eastAsia="宋体" w:hAnsi="宋体" w:cs="宋体"/>
          <w:color w:val="333333"/>
          <w:sz w:val="24"/>
          <w:szCs w:val="24"/>
        </w:rPr>
        <w:t>5000</w:t>
      </w:r>
      <w:r w:rsidRPr="00FA24EE">
        <w:rPr>
          <w:rFonts w:ascii="宋体" w:eastAsia="宋体" w:hAnsi="宋体" w:cs="宋体" w:hint="eastAsia"/>
          <w:color w:val="333333"/>
          <w:sz w:val="24"/>
          <w:szCs w:val="24"/>
        </w:rPr>
        <w:t>元计算；</w:t>
      </w:r>
      <w:r w:rsidRPr="00FA24EE">
        <w:rPr>
          <w:rFonts w:ascii="宋体" w:eastAsia="宋体" w:hAnsi="宋体" w:cs="宋体"/>
          <w:color w:val="333333"/>
          <w:sz w:val="24"/>
          <w:szCs w:val="24"/>
        </w:rPr>
        <w:t>6</w:t>
      </w:r>
      <w:r w:rsidRPr="00FA24EE">
        <w:rPr>
          <w:rFonts w:ascii="宋体" w:eastAsia="宋体" w:hAnsi="宋体" w:cs="宋体" w:hint="eastAsia"/>
          <w:color w:val="333333"/>
          <w:sz w:val="24"/>
          <w:szCs w:val="24"/>
        </w:rPr>
        <w:t>月份发工资扣缴税款时，减除费用按</w:t>
      </w:r>
      <w:r w:rsidRPr="00FA24EE">
        <w:rPr>
          <w:rFonts w:ascii="宋体" w:eastAsia="宋体" w:hAnsi="宋体" w:cs="宋体"/>
          <w:color w:val="333333"/>
          <w:sz w:val="24"/>
          <w:szCs w:val="24"/>
        </w:rPr>
        <w:t>10000</w:t>
      </w:r>
      <w:r w:rsidRPr="00FA24EE">
        <w:rPr>
          <w:rFonts w:ascii="宋体" w:eastAsia="宋体" w:hAnsi="宋体" w:cs="宋体" w:hint="eastAsia"/>
          <w:color w:val="333333"/>
          <w:sz w:val="24"/>
          <w:szCs w:val="24"/>
        </w:rPr>
        <w:t>元计算，以此类推。</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（二）预扣预缴环节享受专项附加扣除的方法</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居民个人向扣缴义务人提供有关信息并依法要求办理专项附加扣除的，扣缴义务人应当按照规定在工资、薪金所得按月预扣预缴税款时予以扣除，不得拒绝。</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（三）居民个人劳务报酬所得、稿酬所得、特许权使用费所得预扣预缴税款的方法</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扣缴义务人向居民个人支付劳务报酬所得、稿酬所得和特许权使用费所得的，按以下方法按次或者按月预扣预缴个人所得税：</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劳务报酬所得、稿酬所得、特许权使用费所得以每次收入减除费用后的余额为收入额；其中，稿酬所得的收入额减按百分之七十计算。</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预扣预缴税款时，劳务报酬所得、稿酬所得、特许权使用费所得每次收入不超过四千元的，减除费用按八百元计算；每次收入四千元以上的，减除费用按收入的百分之二十计算。</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劳务报酬所得、稿酬所得、特许权使用费所得，以每次收入额为预扣预缴应纳税所得额，计算应预扣预缴税额。劳务报酬所得适用个人所得税预扣率表二（见下表），稿酬所得、特许权使用费所得适用百分之二十的比例预扣率。</w:t>
      </w:r>
    </w:p>
    <w:p w:rsidR="00CC4D54" w:rsidRPr="00FA24EE" w:rsidRDefault="00CC4D54" w:rsidP="00FA24EE">
      <w:pPr>
        <w:shd w:val="clear" w:color="auto" w:fill="FFFFFF"/>
        <w:adjustRightInd/>
        <w:snapToGrid/>
        <w:spacing w:after="0" w:line="540" w:lineRule="atLeast"/>
        <w:rPr>
          <w:rFonts w:ascii="宋体" w:eastAsia="宋体" w:hAnsi="宋体" w:cs="Times New Roman"/>
          <w:color w:val="333333"/>
          <w:sz w:val="24"/>
          <w:szCs w:val="24"/>
        </w:rPr>
      </w:pPr>
    </w:p>
    <w:p w:rsidR="00CC4D54" w:rsidRPr="00FA24EE" w:rsidRDefault="00CC4D54" w:rsidP="00FA24EE">
      <w:pPr>
        <w:shd w:val="clear" w:color="auto" w:fill="FFFFFF"/>
        <w:adjustRightInd/>
        <w:snapToGrid/>
        <w:spacing w:after="0" w:line="540" w:lineRule="atLeast"/>
        <w:jc w:val="center"/>
        <w:rPr>
          <w:rFonts w:ascii="宋体" w:eastAsia="宋体" w:hAnsi="宋体" w:cs="Times New Roman"/>
          <w:color w:val="333333"/>
          <w:sz w:val="24"/>
          <w:szCs w:val="24"/>
        </w:rPr>
      </w:pPr>
      <w:r w:rsidRPr="00FA24EE">
        <w:rPr>
          <w:rFonts w:ascii="宋体" w:eastAsia="宋体" w:hAnsi="宋体" w:cs="宋体" w:hint="eastAsia"/>
          <w:color w:val="333333"/>
          <w:sz w:val="24"/>
          <w:szCs w:val="24"/>
        </w:rPr>
        <w:t>个人所得税预扣率表二</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（居民个人劳务报酬所得预扣预缴适用）</w:t>
      </w:r>
    </w:p>
    <w:tbl>
      <w:tblPr>
        <w:tblW w:w="8643" w:type="dxa"/>
        <w:jc w:val="center"/>
        <w:tblCellMar>
          <w:left w:w="0" w:type="dxa"/>
          <w:right w:w="0" w:type="dxa"/>
        </w:tblCellMar>
        <w:tblLook w:val="0000"/>
      </w:tblPr>
      <w:tblGrid>
        <w:gridCol w:w="1407"/>
        <w:gridCol w:w="3819"/>
        <w:gridCol w:w="1608"/>
        <w:gridCol w:w="1809"/>
      </w:tblGrid>
      <w:tr w:rsidR="00CC4D54" w:rsidRPr="00FA24EE" w:rsidTr="00FA24EE">
        <w:trPr>
          <w:trHeight w:val="397"/>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级数</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预扣预缴应纳税所得额</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预扣率（</w:t>
            </w:r>
            <w:r w:rsidRPr="00FA24EE">
              <w:rPr>
                <w:rFonts w:ascii="宋体" w:eastAsia="宋体" w:hAnsi="宋体" w:cs="宋体"/>
                <w:b/>
                <w:bCs/>
                <w:color w:val="333333"/>
                <w:sz w:val="24"/>
                <w:szCs w:val="24"/>
                <w:bdr w:val="none" w:sz="0" w:space="0" w:color="auto" w:frame="1"/>
              </w:rPr>
              <w:t>%</w:t>
            </w:r>
            <w:r w:rsidRPr="00FA24EE">
              <w:rPr>
                <w:rFonts w:ascii="宋体" w:eastAsia="宋体" w:hAnsi="宋体" w:cs="宋体" w:hint="eastAsia"/>
                <w:b/>
                <w:bCs/>
                <w:color w:val="333333"/>
                <w:sz w:val="24"/>
                <w:szCs w:val="24"/>
                <w:bdr w:val="none" w:sz="0" w:space="0" w:color="auto" w:frame="1"/>
              </w:rPr>
              <w:t>）</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速算扣除数</w:t>
            </w:r>
          </w:p>
        </w:tc>
      </w:tr>
      <w:tr w:rsidR="00CC4D54" w:rsidRPr="00FA24EE" w:rsidTr="00FA24EE">
        <w:trPr>
          <w:trHeight w:val="397"/>
          <w:jc w:val="center"/>
        </w:trPr>
        <w:tc>
          <w:tcPr>
            <w:tcW w:w="1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1</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不超过</w:t>
            </w:r>
            <w:r w:rsidRPr="00FA24EE">
              <w:rPr>
                <w:rFonts w:ascii="宋体" w:eastAsia="宋体" w:hAnsi="宋体" w:cs="宋体"/>
                <w:color w:val="333333"/>
                <w:sz w:val="21"/>
                <w:szCs w:val="21"/>
                <w:bdr w:val="none" w:sz="0" w:space="0" w:color="auto" w:frame="1"/>
              </w:rPr>
              <w:t>20000</w:t>
            </w:r>
            <w:r w:rsidRPr="00FA24EE">
              <w:rPr>
                <w:rFonts w:ascii="宋体" w:eastAsia="宋体" w:hAnsi="宋体" w:cs="宋体" w:hint="eastAsia"/>
                <w:color w:val="333333"/>
                <w:sz w:val="21"/>
                <w:szCs w:val="21"/>
                <w:bdr w:val="none" w:sz="0" w:space="0" w:color="auto" w:frame="1"/>
              </w:rPr>
              <w:t>元的</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20</w:t>
            </w:r>
          </w:p>
        </w:tc>
        <w:tc>
          <w:tcPr>
            <w:tcW w:w="1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0</w:t>
            </w:r>
          </w:p>
        </w:tc>
      </w:tr>
      <w:tr w:rsidR="00CC4D54" w:rsidRPr="00FA24EE" w:rsidTr="00FA24EE">
        <w:trPr>
          <w:trHeight w:val="397"/>
          <w:jc w:val="center"/>
        </w:trPr>
        <w:tc>
          <w:tcPr>
            <w:tcW w:w="1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20000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50000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30</w:t>
            </w:r>
          </w:p>
        </w:tc>
        <w:tc>
          <w:tcPr>
            <w:tcW w:w="1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2000</w:t>
            </w:r>
          </w:p>
        </w:tc>
      </w:tr>
      <w:tr w:rsidR="00CC4D54" w:rsidRPr="00FA24EE" w:rsidTr="00FA24EE">
        <w:trPr>
          <w:trHeight w:val="397"/>
          <w:jc w:val="center"/>
        </w:trPr>
        <w:tc>
          <w:tcPr>
            <w:tcW w:w="1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50000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40</w:t>
            </w:r>
          </w:p>
        </w:tc>
        <w:tc>
          <w:tcPr>
            <w:tcW w:w="1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7000</w:t>
            </w:r>
          </w:p>
        </w:tc>
      </w:tr>
    </w:tbl>
    <w:p w:rsidR="00CC4D54" w:rsidRPr="00FA24EE" w:rsidRDefault="00CC4D54" w:rsidP="00FA24EE">
      <w:pPr>
        <w:shd w:val="clear" w:color="auto" w:fill="FFFFFF"/>
        <w:adjustRightInd/>
        <w:snapToGrid/>
        <w:spacing w:after="0" w:line="540" w:lineRule="atLeast"/>
        <w:rPr>
          <w:rFonts w:ascii="宋体" w:eastAsia="宋体" w:hAnsi="宋体" w:cs="Times New Roman"/>
          <w:color w:val="333333"/>
          <w:sz w:val="24"/>
          <w:szCs w:val="24"/>
        </w:rPr>
      </w:pPr>
    </w:p>
    <w:p w:rsidR="00CC4D54" w:rsidRPr="00FA24EE" w:rsidRDefault="00CC4D54" w:rsidP="00FA24EE">
      <w:pPr>
        <w:shd w:val="clear" w:color="auto" w:fill="FFFFFF"/>
        <w:adjustRightInd/>
        <w:snapToGrid/>
        <w:spacing w:after="0" w:line="540" w:lineRule="atLeast"/>
        <w:rPr>
          <w:rFonts w:ascii="宋体" w:eastAsia="宋体" w:hAnsi="宋体" w:cs="Times New Roman"/>
          <w:color w:val="333333"/>
          <w:sz w:val="24"/>
          <w:szCs w:val="24"/>
        </w:rPr>
      </w:pPr>
      <w:r w:rsidRPr="00FA24EE">
        <w:rPr>
          <w:rFonts w:ascii="宋体" w:eastAsia="宋体" w:hAnsi="宋体" w:cs="宋体" w:hint="eastAsia"/>
          <w:color w:val="333333"/>
          <w:sz w:val="24"/>
          <w:szCs w:val="24"/>
        </w:rPr>
        <w:t xml:space="preserve">　　（四）非居民个人工资、薪金所得，劳务报酬所得，稿酬所得和特许权使用费所得代扣代缴税款的方法</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扣缴义务人向非居民个人支付工资、薪金所得，劳务报酬所得，稿酬所得和特许权使用费所得时，按以下方法按月或者按次代扣代缴税款：</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非居民个人的工资、薪金所得，以每月收入额减除费用五千元后的余额为应纳税所得额；劳务报酬所得、稿酬所得、特许权使用费所得，以每次收入额为应纳税所得额，适用个人所得税税率表三（见下表）计算应纳税额。劳务报酬所得、稿酬所得、特许权使用费所得以收入减除百分之二十的费用后的余额为收入额。其中，稿酬所得的收入额减按百分之七十计算。</w:t>
      </w:r>
    </w:p>
    <w:p w:rsidR="00CC4D54" w:rsidRPr="00FA24EE" w:rsidRDefault="00CC4D54" w:rsidP="00FA24EE">
      <w:pPr>
        <w:shd w:val="clear" w:color="auto" w:fill="FFFFFF"/>
        <w:adjustRightInd/>
        <w:snapToGrid/>
        <w:spacing w:after="0" w:line="540" w:lineRule="atLeast"/>
        <w:rPr>
          <w:rFonts w:ascii="宋体" w:eastAsia="宋体" w:hAnsi="宋体" w:cs="Times New Roman"/>
          <w:color w:val="333333"/>
          <w:sz w:val="24"/>
          <w:szCs w:val="24"/>
        </w:rPr>
      </w:pPr>
    </w:p>
    <w:p w:rsidR="00CC4D54" w:rsidRPr="00FA24EE" w:rsidRDefault="00CC4D54" w:rsidP="00FA24EE">
      <w:pPr>
        <w:shd w:val="clear" w:color="auto" w:fill="FFFFFF"/>
        <w:adjustRightInd/>
        <w:snapToGrid/>
        <w:spacing w:after="0" w:line="540" w:lineRule="atLeast"/>
        <w:jc w:val="center"/>
        <w:rPr>
          <w:rFonts w:ascii="宋体" w:eastAsia="宋体" w:hAnsi="宋体" w:cs="Times New Roman"/>
          <w:color w:val="333333"/>
          <w:sz w:val="24"/>
          <w:szCs w:val="24"/>
        </w:rPr>
      </w:pPr>
      <w:r w:rsidRPr="00FA24EE">
        <w:rPr>
          <w:rFonts w:ascii="宋体" w:eastAsia="宋体" w:hAnsi="宋体" w:cs="宋体" w:hint="eastAsia"/>
          <w:color w:val="333333"/>
          <w:sz w:val="24"/>
          <w:szCs w:val="24"/>
        </w:rPr>
        <w:t>个人所得税税率表三</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（非居民个人工资、薪金所得，劳务报酬所得，稿酬所得，特许权使用费所得适用）</w:t>
      </w:r>
    </w:p>
    <w:tbl>
      <w:tblPr>
        <w:tblW w:w="8664" w:type="dxa"/>
        <w:jc w:val="center"/>
        <w:tblCellMar>
          <w:left w:w="0" w:type="dxa"/>
          <w:right w:w="0" w:type="dxa"/>
        </w:tblCellMar>
        <w:tblLook w:val="0000"/>
      </w:tblPr>
      <w:tblGrid>
        <w:gridCol w:w="1431"/>
        <w:gridCol w:w="3819"/>
        <w:gridCol w:w="1608"/>
        <w:gridCol w:w="1806"/>
      </w:tblGrid>
      <w:tr w:rsidR="00CC4D54" w:rsidRPr="00FA24EE" w:rsidTr="00FA24EE">
        <w:trPr>
          <w:trHeight w:val="390"/>
          <w:jc w:val="center"/>
        </w:trPr>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级数</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应纳税所得额</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税率（</w:t>
            </w:r>
            <w:r w:rsidRPr="00FA24EE">
              <w:rPr>
                <w:rFonts w:ascii="宋体" w:eastAsia="宋体" w:hAnsi="宋体" w:cs="宋体"/>
                <w:b/>
                <w:bCs/>
                <w:color w:val="333333"/>
                <w:sz w:val="24"/>
                <w:szCs w:val="24"/>
                <w:bdr w:val="none" w:sz="0" w:space="0" w:color="auto" w:frame="1"/>
              </w:rPr>
              <w:t>%</w:t>
            </w:r>
            <w:r w:rsidRPr="00FA24EE">
              <w:rPr>
                <w:rFonts w:ascii="宋体" w:eastAsia="宋体" w:hAnsi="宋体" w:cs="宋体" w:hint="eastAsia"/>
                <w:b/>
                <w:bCs/>
                <w:color w:val="333333"/>
                <w:sz w:val="24"/>
                <w:szCs w:val="24"/>
                <w:bdr w:val="none" w:sz="0" w:space="0" w:color="auto" w:frame="1"/>
              </w:rPr>
              <w:t>）</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hint="eastAsia"/>
                <w:b/>
                <w:bCs/>
                <w:color w:val="333333"/>
                <w:sz w:val="24"/>
                <w:szCs w:val="24"/>
                <w:bdr w:val="none" w:sz="0" w:space="0" w:color="auto" w:frame="1"/>
              </w:rPr>
              <w:t>速算扣除数</w:t>
            </w:r>
          </w:p>
        </w:tc>
      </w:tr>
      <w:tr w:rsidR="00CC4D54" w:rsidRPr="00FA24EE" w:rsidTr="00FA24EE">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1</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不超过</w:t>
            </w:r>
            <w:r w:rsidRPr="00FA24EE">
              <w:rPr>
                <w:rFonts w:ascii="宋体" w:eastAsia="宋体" w:hAnsi="宋体" w:cs="宋体"/>
                <w:color w:val="333333"/>
                <w:sz w:val="21"/>
                <w:szCs w:val="21"/>
                <w:bdr w:val="none" w:sz="0" w:space="0" w:color="auto" w:frame="1"/>
              </w:rPr>
              <w:t>3000</w:t>
            </w:r>
            <w:r w:rsidRPr="00FA24EE">
              <w:rPr>
                <w:rFonts w:ascii="宋体" w:eastAsia="宋体" w:hAnsi="宋体" w:cs="宋体" w:hint="eastAsia"/>
                <w:color w:val="333333"/>
                <w:sz w:val="21"/>
                <w:szCs w:val="21"/>
                <w:bdr w:val="none" w:sz="0" w:space="0" w:color="auto" w:frame="1"/>
              </w:rPr>
              <w:t>元的</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0</w:t>
            </w:r>
          </w:p>
        </w:tc>
      </w:tr>
      <w:tr w:rsidR="00CC4D54" w:rsidRPr="00FA24EE" w:rsidTr="00FA24EE">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3000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12000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10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210</w:t>
            </w:r>
          </w:p>
        </w:tc>
      </w:tr>
      <w:tr w:rsidR="00CC4D54" w:rsidRPr="00FA24EE" w:rsidTr="00FA24EE">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12000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25000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1410</w:t>
            </w:r>
          </w:p>
        </w:tc>
      </w:tr>
      <w:tr w:rsidR="00CC4D54" w:rsidRPr="00FA24EE" w:rsidTr="00FA24EE">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4</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25000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35000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25</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2660</w:t>
            </w:r>
          </w:p>
        </w:tc>
      </w:tr>
      <w:tr w:rsidR="00CC4D54" w:rsidRPr="00FA24EE" w:rsidTr="00FA24EE">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5</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35000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55000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4410</w:t>
            </w:r>
          </w:p>
        </w:tc>
      </w:tr>
      <w:tr w:rsidR="00CC4D54" w:rsidRPr="00FA24EE" w:rsidTr="00FA24EE">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6</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55000</w:t>
            </w:r>
            <w:r w:rsidRPr="00FA24EE">
              <w:rPr>
                <w:rFonts w:ascii="宋体" w:eastAsia="宋体" w:hAnsi="宋体" w:cs="宋体" w:hint="eastAsia"/>
                <w:color w:val="333333"/>
                <w:sz w:val="21"/>
                <w:szCs w:val="21"/>
                <w:bdr w:val="none" w:sz="0" w:space="0" w:color="auto" w:frame="1"/>
              </w:rPr>
              <w:t>元至</w:t>
            </w:r>
            <w:r w:rsidRPr="00FA24EE">
              <w:rPr>
                <w:rFonts w:ascii="宋体" w:eastAsia="宋体" w:hAnsi="宋体" w:cs="宋体"/>
                <w:color w:val="333333"/>
                <w:sz w:val="21"/>
                <w:szCs w:val="21"/>
                <w:bdr w:val="none" w:sz="0" w:space="0" w:color="auto" w:frame="1"/>
              </w:rPr>
              <w:t>80000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35</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7160</w:t>
            </w:r>
          </w:p>
        </w:tc>
      </w:tr>
      <w:tr w:rsidR="00CC4D54" w:rsidRPr="00FA24EE" w:rsidTr="00FA24EE">
        <w:trPr>
          <w:trHeight w:val="390"/>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7</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rPr>
                <w:rFonts w:ascii="微软雅黑" w:cs="微软雅黑"/>
                <w:color w:val="333333"/>
                <w:sz w:val="18"/>
                <w:szCs w:val="18"/>
              </w:rPr>
            </w:pPr>
            <w:r w:rsidRPr="00FA24EE">
              <w:rPr>
                <w:rFonts w:ascii="宋体" w:eastAsia="宋体" w:hAnsi="宋体" w:cs="宋体" w:hint="eastAsia"/>
                <w:color w:val="333333"/>
                <w:sz w:val="21"/>
                <w:szCs w:val="21"/>
                <w:bdr w:val="none" w:sz="0" w:space="0" w:color="auto" w:frame="1"/>
              </w:rPr>
              <w:t>超过</w:t>
            </w:r>
            <w:r w:rsidRPr="00FA24EE">
              <w:rPr>
                <w:rFonts w:ascii="宋体" w:eastAsia="宋体" w:hAnsi="宋体" w:cs="宋体"/>
                <w:color w:val="333333"/>
                <w:sz w:val="21"/>
                <w:szCs w:val="21"/>
                <w:bdr w:val="none" w:sz="0" w:space="0" w:color="auto" w:frame="1"/>
              </w:rPr>
              <w:t>80000</w:t>
            </w:r>
            <w:r w:rsidRPr="00FA24EE">
              <w:rPr>
                <w:rFonts w:ascii="宋体" w:eastAsia="宋体" w:hAnsi="宋体" w:cs="宋体" w:hint="eastAsia"/>
                <w:color w:val="333333"/>
                <w:sz w:val="21"/>
                <w:szCs w:val="21"/>
                <w:bdr w:val="none" w:sz="0" w:space="0" w:color="auto" w:frame="1"/>
              </w:rPr>
              <w:t>元的部分</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45</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D54" w:rsidRPr="00FA24EE" w:rsidRDefault="00CC4D54" w:rsidP="00FA24EE">
            <w:pPr>
              <w:adjustRightInd/>
              <w:snapToGrid/>
              <w:spacing w:after="0" w:line="420" w:lineRule="atLeast"/>
              <w:jc w:val="center"/>
              <w:rPr>
                <w:rFonts w:ascii="微软雅黑" w:cs="微软雅黑"/>
                <w:color w:val="333333"/>
                <w:sz w:val="18"/>
                <w:szCs w:val="18"/>
              </w:rPr>
            </w:pPr>
            <w:r w:rsidRPr="00FA24EE">
              <w:rPr>
                <w:rFonts w:ascii="宋体" w:eastAsia="宋体" w:hAnsi="宋体" w:cs="宋体"/>
                <w:color w:val="333333"/>
                <w:sz w:val="21"/>
                <w:szCs w:val="21"/>
                <w:bdr w:val="none" w:sz="0" w:space="0" w:color="auto" w:frame="1"/>
              </w:rPr>
              <w:t>15160</w:t>
            </w:r>
          </w:p>
        </w:tc>
      </w:tr>
    </w:tbl>
    <w:p w:rsidR="00CC4D54" w:rsidRPr="00FA24EE" w:rsidRDefault="00CC4D54" w:rsidP="00FA24EE">
      <w:pPr>
        <w:shd w:val="clear" w:color="auto" w:fill="FFFFFF"/>
        <w:adjustRightInd/>
        <w:snapToGrid/>
        <w:spacing w:after="0" w:line="540" w:lineRule="atLeast"/>
        <w:rPr>
          <w:rFonts w:ascii="宋体" w:eastAsia="宋体" w:hAnsi="宋体" w:cs="Times New Roman"/>
          <w:color w:val="333333"/>
          <w:sz w:val="24"/>
          <w:szCs w:val="24"/>
        </w:rPr>
      </w:pPr>
    </w:p>
    <w:p w:rsidR="00CC4D54" w:rsidRPr="00FA24EE" w:rsidRDefault="00CC4D54" w:rsidP="00FA24EE">
      <w:pPr>
        <w:shd w:val="clear" w:color="auto" w:fill="FFFFFF"/>
        <w:adjustRightInd/>
        <w:snapToGrid/>
        <w:spacing w:after="0" w:line="540" w:lineRule="atLeast"/>
        <w:rPr>
          <w:rFonts w:ascii="宋体" w:eastAsia="宋体" w:hAnsi="宋体" w:cs="Times New Roman"/>
          <w:color w:val="333333"/>
          <w:sz w:val="24"/>
          <w:szCs w:val="24"/>
        </w:rPr>
      </w:pPr>
      <w:r w:rsidRPr="00FA24EE">
        <w:rPr>
          <w:rFonts w:ascii="宋体" w:eastAsia="宋体" w:hAnsi="宋体" w:cs="宋体" w:hint="eastAsia"/>
          <w:color w:val="333333"/>
          <w:sz w:val="24"/>
          <w:szCs w:val="24"/>
        </w:rPr>
        <w:t xml:space="preserve">　　（五）扣缴义务人向纳税人反馈扣缴信息的规定</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（六）发现纳税人涉税信息与实际不符的处理方法</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扣缴义务人应当按照纳税人提供的信息计算税款、办理扣缴申报，不得擅自更改纳税人提供的信息。扣缴义务人发现纳税人提供的信息与实际情况不符的，可以要求纳税人修改。纳税人拒绝修改的，扣缴义务人应当报告税务机关，税务机关应当及时处理。纳税人发现扣缴义务人提供或者扣缴申报的个人信息、支付所得、扣缴税款等信息与实际情况不符的，有权要求扣缴义务人修改。扣缴义务人拒绝修改的，纳税人应当报告税务机关，税务机关应当及时处理。</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（七）涉税资料和信息留存备查与保密的规定</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扣缴义务人对纳税人提供的《个人所得税专项附加扣除信息表》，应当按照规定妥善留存备查；扣缴义务人应当依法对纳税人报送的专项附加扣除等相关涉税信息和资料保密。</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（八）代扣代缴手续费的规定</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对扣缴义务人按照规定扣缴的税款，不包括税务机关、司法机关等查补或责令补扣的税款，按年付给百分之二的手续费；扣缴义务人可将代扣代缴手续费用于提升办税能力、奖励办税人员。</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（九）纳税人拒绝扣缴税款的处理方法</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扣缴义务人依法履行代扣代缴义务，纳税人不得拒绝。纳税人拒绝的，扣缴义务人应当及时报告税务机关。</w:t>
      </w:r>
      <w:r w:rsidRPr="00FA24EE">
        <w:rPr>
          <w:rFonts w:ascii="宋体" w:eastAsia="宋体" w:hAnsi="宋体" w:cs="Times New Roman"/>
          <w:color w:val="333333"/>
          <w:sz w:val="24"/>
          <w:szCs w:val="24"/>
        </w:rPr>
        <w:br/>
      </w:r>
      <w:r w:rsidRPr="00FA24EE">
        <w:rPr>
          <w:rFonts w:ascii="宋体" w:eastAsia="宋体" w:hAnsi="宋体" w:cs="宋体" w:hint="eastAsia"/>
          <w:b/>
          <w:bCs/>
          <w:color w:val="333333"/>
          <w:sz w:val="24"/>
          <w:szCs w:val="24"/>
        </w:rPr>
        <w:t xml:space="preserve">　　三、公告的施行</w:t>
      </w:r>
      <w:r w:rsidRPr="00FA24EE">
        <w:rPr>
          <w:rFonts w:ascii="宋体" w:eastAsia="宋体" w:hAnsi="宋体" w:cs="Times New Roman"/>
          <w:color w:val="333333"/>
          <w:sz w:val="24"/>
          <w:szCs w:val="24"/>
        </w:rPr>
        <w:br/>
      </w:r>
      <w:r w:rsidRPr="00FA24EE">
        <w:rPr>
          <w:rFonts w:ascii="宋体" w:eastAsia="宋体" w:hAnsi="宋体" w:cs="宋体" w:hint="eastAsia"/>
          <w:color w:val="333333"/>
          <w:sz w:val="24"/>
          <w:szCs w:val="24"/>
        </w:rPr>
        <w:t xml:space="preserve">　　本公告自</w:t>
      </w:r>
      <w:r w:rsidRPr="00FA24EE">
        <w:rPr>
          <w:rFonts w:ascii="宋体" w:eastAsia="宋体" w:hAnsi="宋体" w:cs="宋体"/>
          <w:color w:val="333333"/>
          <w:sz w:val="24"/>
          <w:szCs w:val="24"/>
        </w:rPr>
        <w:t>2019</w:t>
      </w:r>
      <w:r w:rsidRPr="00FA24EE">
        <w:rPr>
          <w:rFonts w:ascii="宋体" w:eastAsia="宋体" w:hAnsi="宋体" w:cs="宋体" w:hint="eastAsia"/>
          <w:color w:val="333333"/>
          <w:sz w:val="24"/>
          <w:szCs w:val="24"/>
        </w:rPr>
        <w:t>年</w:t>
      </w:r>
      <w:r w:rsidRPr="00FA24EE">
        <w:rPr>
          <w:rFonts w:ascii="宋体" w:eastAsia="宋体" w:hAnsi="宋体" w:cs="宋体"/>
          <w:color w:val="333333"/>
          <w:sz w:val="24"/>
          <w:szCs w:val="24"/>
        </w:rPr>
        <w:t>1</w:t>
      </w:r>
      <w:r w:rsidRPr="00FA24EE">
        <w:rPr>
          <w:rFonts w:ascii="宋体" w:eastAsia="宋体" w:hAnsi="宋体" w:cs="宋体" w:hint="eastAsia"/>
          <w:color w:val="333333"/>
          <w:sz w:val="24"/>
          <w:szCs w:val="24"/>
        </w:rPr>
        <w:t>月</w:t>
      </w:r>
      <w:r w:rsidRPr="00FA24EE">
        <w:rPr>
          <w:rFonts w:ascii="宋体" w:eastAsia="宋体" w:hAnsi="宋体" w:cs="宋体"/>
          <w:color w:val="333333"/>
          <w:sz w:val="24"/>
          <w:szCs w:val="24"/>
        </w:rPr>
        <w:t>1</w:t>
      </w:r>
      <w:r w:rsidRPr="00FA24EE">
        <w:rPr>
          <w:rFonts w:ascii="宋体" w:eastAsia="宋体" w:hAnsi="宋体" w:cs="宋体" w:hint="eastAsia"/>
          <w:color w:val="333333"/>
          <w:sz w:val="24"/>
          <w:szCs w:val="24"/>
        </w:rPr>
        <w:t>日起施行。</w:t>
      </w:r>
    </w:p>
    <w:p w:rsidR="00CC4D54" w:rsidRDefault="00CC4D54" w:rsidP="00D31D50">
      <w:pPr>
        <w:spacing w:line="220" w:lineRule="atLeast"/>
        <w:rPr>
          <w:rFonts w:cs="Times New Roman"/>
        </w:rPr>
      </w:pPr>
    </w:p>
    <w:sectPr w:rsidR="00CC4D5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64DAD"/>
    <w:multiLevelType w:val="multilevel"/>
    <w:tmpl w:val="282EC42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69F1"/>
    <w:rsid w:val="00323B43"/>
    <w:rsid w:val="003D37D8"/>
    <w:rsid w:val="00426133"/>
    <w:rsid w:val="004358AB"/>
    <w:rsid w:val="00673056"/>
    <w:rsid w:val="008B7726"/>
    <w:rsid w:val="00CC4D54"/>
    <w:rsid w:val="00D31D50"/>
    <w:rsid w:val="00FA24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24EE"/>
    <w:rPr>
      <w:color w:val="333333"/>
      <w:sz w:val="18"/>
      <w:szCs w:val="18"/>
      <w:u w:val="none"/>
      <w:effect w:val="none"/>
      <w:bdr w:val="none" w:sz="0" w:space="0" w:color="auto" w:frame="1"/>
    </w:rPr>
  </w:style>
  <w:style w:type="paragraph" w:styleId="NormalWeb">
    <w:name w:val="Normal (Web)"/>
    <w:basedOn w:val="Normal"/>
    <w:uiPriority w:val="99"/>
    <w:rsid w:val="00FA24EE"/>
    <w:pPr>
      <w:adjustRightInd/>
      <w:snapToGrid/>
      <w:spacing w:after="0"/>
    </w:pPr>
    <w:rPr>
      <w:rFonts w:ascii="宋体" w:eastAsia="宋体" w:hAnsi="宋体" w:cs="宋体"/>
      <w:sz w:val="24"/>
      <w:szCs w:val="24"/>
    </w:rPr>
  </w:style>
  <w:style w:type="character" w:styleId="Strong">
    <w:name w:val="Strong"/>
    <w:basedOn w:val="DefaultParagraphFont"/>
    <w:uiPriority w:val="99"/>
    <w:qFormat/>
    <w:locked/>
    <w:rsid w:val="00FA24EE"/>
    <w:rPr>
      <w:b/>
      <w:bCs/>
    </w:rPr>
  </w:style>
</w:styles>
</file>

<file path=word/webSettings.xml><?xml version="1.0" encoding="utf-8"?>
<w:webSettings xmlns:r="http://schemas.openxmlformats.org/officeDocument/2006/relationships" xmlns:w="http://schemas.openxmlformats.org/wordprocessingml/2006/main">
  <w:divs>
    <w:div w:id="651298250">
      <w:marLeft w:val="0"/>
      <w:marRight w:val="0"/>
      <w:marTop w:val="0"/>
      <w:marBottom w:val="0"/>
      <w:divBdr>
        <w:top w:val="none" w:sz="0" w:space="0" w:color="auto"/>
        <w:left w:val="none" w:sz="0" w:space="0" w:color="auto"/>
        <w:bottom w:val="none" w:sz="0" w:space="0" w:color="auto"/>
        <w:right w:val="none" w:sz="0" w:space="0" w:color="auto"/>
      </w:divBdr>
      <w:divsChild>
        <w:div w:id="651298254">
          <w:marLeft w:val="0"/>
          <w:marRight w:val="0"/>
          <w:marTop w:val="0"/>
          <w:marBottom w:val="0"/>
          <w:divBdr>
            <w:top w:val="none" w:sz="0" w:space="0" w:color="auto"/>
            <w:left w:val="none" w:sz="0" w:space="0" w:color="auto"/>
            <w:bottom w:val="none" w:sz="0" w:space="0" w:color="auto"/>
            <w:right w:val="none" w:sz="0" w:space="0" w:color="auto"/>
          </w:divBdr>
          <w:divsChild>
            <w:div w:id="651298249">
              <w:marLeft w:val="0"/>
              <w:marRight w:val="0"/>
              <w:marTop w:val="0"/>
              <w:marBottom w:val="0"/>
              <w:divBdr>
                <w:top w:val="none" w:sz="0" w:space="0" w:color="auto"/>
                <w:left w:val="none" w:sz="0" w:space="0" w:color="auto"/>
                <w:bottom w:val="none" w:sz="0" w:space="0" w:color="auto"/>
                <w:right w:val="none" w:sz="0" w:space="0" w:color="auto"/>
              </w:divBdr>
            </w:div>
            <w:div w:id="651298251">
              <w:marLeft w:val="0"/>
              <w:marRight w:val="0"/>
              <w:marTop w:val="0"/>
              <w:marBottom w:val="0"/>
              <w:divBdr>
                <w:top w:val="none" w:sz="0" w:space="0" w:color="auto"/>
                <w:left w:val="none" w:sz="0" w:space="0" w:color="auto"/>
                <w:bottom w:val="none" w:sz="0" w:space="0" w:color="auto"/>
                <w:right w:val="none" w:sz="0" w:space="0" w:color="auto"/>
              </w:divBdr>
              <w:divsChild>
                <w:div w:id="651298248">
                  <w:marLeft w:val="0"/>
                  <w:marRight w:val="0"/>
                  <w:marTop w:val="0"/>
                  <w:marBottom w:val="0"/>
                  <w:divBdr>
                    <w:top w:val="none" w:sz="0" w:space="0" w:color="auto"/>
                    <w:left w:val="none" w:sz="0" w:space="0" w:color="auto"/>
                    <w:bottom w:val="none" w:sz="0" w:space="0" w:color="auto"/>
                    <w:right w:val="none" w:sz="0" w:space="0" w:color="auto"/>
                  </w:divBdr>
                  <w:divsChild>
                    <w:div w:id="651298255">
                      <w:marLeft w:val="0"/>
                      <w:marRight w:val="0"/>
                      <w:marTop w:val="0"/>
                      <w:marBottom w:val="0"/>
                      <w:divBdr>
                        <w:top w:val="none" w:sz="0" w:space="0" w:color="auto"/>
                        <w:left w:val="none" w:sz="0" w:space="0" w:color="auto"/>
                        <w:bottom w:val="none" w:sz="0" w:space="0" w:color="auto"/>
                        <w:right w:val="none" w:sz="0" w:space="0" w:color="auto"/>
                      </w:divBdr>
                      <w:divsChild>
                        <w:div w:id="6512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natax.gov.cn/n810341/n810760/c3959585/cont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60/c3959585/content.html" TargetMode="External"/><Relationship Id="rId11" Type="http://schemas.openxmlformats.org/officeDocument/2006/relationships/hyperlink" Target="http://www.chinatax.gov.cn/n810341/n810760/c3959585/content.html" TargetMode="External"/><Relationship Id="rId5" Type="http://schemas.openxmlformats.org/officeDocument/2006/relationships/hyperlink" Target="http://www.chinatax.gov.cn/n810341/n810760/c3959585/content.html" TargetMode="External"/><Relationship Id="rId10" Type="http://schemas.openxmlformats.org/officeDocument/2006/relationships/hyperlink" Target="http://www.chinatax.gov.cn/n810341/n810760/c3959585/content.html" TargetMode="External"/><Relationship Id="rId4" Type="http://schemas.openxmlformats.org/officeDocument/2006/relationships/webSettings" Target="webSettings.xml"/><Relationship Id="rId9" Type="http://schemas.openxmlformats.org/officeDocument/2006/relationships/hyperlink" Target="http://www.chinatax.gov.cn/n810341/n810760/c3959585/con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541</Words>
  <Characters>3089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2008-09-11T17:20:00Z</dcterms:created>
  <dcterms:modified xsi:type="dcterms:W3CDTF">2019-03-11T08:02:00Z</dcterms:modified>
</cp:coreProperties>
</file>