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CE984">
      <w:pPr>
        <w:rPr>
          <w:rFonts w:ascii="黑体" w:hAnsi="黑体" w:eastAsia="黑体" w:cs="宋体"/>
          <w:bCs/>
          <w:sz w:val="32"/>
          <w:szCs w:val="32"/>
        </w:rPr>
      </w:pPr>
      <w:r>
        <w:rPr>
          <w:rFonts w:hint="eastAsia" w:ascii="黑体" w:hAnsi="黑体" w:eastAsia="黑体" w:cs="宋体"/>
          <w:bCs/>
          <w:sz w:val="32"/>
          <w:szCs w:val="32"/>
        </w:rPr>
        <w:t>附件1：</w:t>
      </w:r>
    </w:p>
    <w:p w14:paraId="199B2F40">
      <w:pPr>
        <w:jc w:val="center"/>
        <w:rPr>
          <w:rFonts w:ascii="黑体" w:hAnsi="黑体" w:eastAsia="黑体" w:cs="宋体"/>
          <w:bCs/>
          <w:sz w:val="32"/>
          <w:szCs w:val="32"/>
        </w:rPr>
      </w:pPr>
      <w:r>
        <w:rPr>
          <w:rFonts w:hint="eastAsia" w:ascii="方正小标宋_GBK" w:hAnsi="宋体" w:eastAsia="方正小标宋_GBK" w:cs="宋体"/>
          <w:bCs/>
          <w:sz w:val="36"/>
          <w:szCs w:val="36"/>
        </w:rPr>
        <w:t>湖南省省级预算单位公务卡强制结算目录</w:t>
      </w:r>
    </w:p>
    <w:tbl>
      <w:tblPr>
        <w:tblStyle w:val="2"/>
        <w:tblpPr w:leftFromText="180" w:rightFromText="180" w:vertAnchor="text" w:horzAnchor="page" w:tblpXSpec="center" w:tblpY="602"/>
        <w:tblOverlap w:val="never"/>
        <w:tblW w:w="9000" w:type="dxa"/>
        <w:tblInd w:w="0" w:type="dxa"/>
        <w:tblLayout w:type="autofit"/>
        <w:tblCellMar>
          <w:top w:w="0" w:type="dxa"/>
          <w:left w:w="0" w:type="dxa"/>
          <w:bottom w:w="0" w:type="dxa"/>
          <w:right w:w="0" w:type="dxa"/>
        </w:tblCellMar>
      </w:tblPr>
      <w:tblGrid>
        <w:gridCol w:w="650"/>
        <w:gridCol w:w="2320"/>
        <w:gridCol w:w="6030"/>
      </w:tblGrid>
      <w:tr w14:paraId="0208E10C">
        <w:tblPrEx>
          <w:tblCellMar>
            <w:top w:w="0" w:type="dxa"/>
            <w:left w:w="0" w:type="dxa"/>
            <w:bottom w:w="0" w:type="dxa"/>
            <w:right w:w="0" w:type="dxa"/>
          </w:tblCellMar>
        </w:tblPrEx>
        <w:trPr>
          <w:trHeight w:val="63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2954">
            <w:pPr>
              <w:pStyle w:val="4"/>
              <w:spacing w:line="210" w:lineRule="auto"/>
              <w:jc w:val="center"/>
              <w:rPr>
                <w:b/>
                <w:bCs/>
                <w:spacing w:val="-9"/>
              </w:rPr>
            </w:pPr>
            <w:r>
              <w:rPr>
                <w:rFonts w:hint="eastAsia"/>
                <w:b/>
                <w:bCs/>
                <w:spacing w:val="-9"/>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D44B">
            <w:pPr>
              <w:pStyle w:val="4"/>
              <w:spacing w:line="210" w:lineRule="auto"/>
              <w:jc w:val="center"/>
              <w:rPr>
                <w:b/>
                <w:bCs/>
                <w:spacing w:val="-9"/>
              </w:rPr>
            </w:pPr>
            <w:r>
              <w:rPr>
                <w:rFonts w:hint="eastAsia"/>
                <w:b/>
                <w:bCs/>
                <w:spacing w:val="-9"/>
              </w:rPr>
              <w:t>结算项目</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459F">
            <w:pPr>
              <w:pStyle w:val="4"/>
              <w:spacing w:line="210" w:lineRule="auto"/>
              <w:jc w:val="center"/>
              <w:rPr>
                <w:b/>
                <w:bCs/>
                <w:spacing w:val="-9"/>
              </w:rPr>
            </w:pPr>
            <w:r>
              <w:rPr>
                <w:rFonts w:hint="eastAsia"/>
                <w:b/>
                <w:bCs/>
                <w:spacing w:val="-9"/>
              </w:rPr>
              <w:t>备  注</w:t>
            </w:r>
          </w:p>
        </w:tc>
      </w:tr>
      <w:tr w14:paraId="59933826">
        <w:tblPrEx>
          <w:tblCellMar>
            <w:top w:w="0" w:type="dxa"/>
            <w:left w:w="0" w:type="dxa"/>
            <w:bottom w:w="0" w:type="dxa"/>
            <w:right w:w="0" w:type="dxa"/>
          </w:tblCellMar>
        </w:tblPrEx>
        <w:trPr>
          <w:trHeight w:val="7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ADD46">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0B02">
            <w:pPr>
              <w:spacing w:line="189" w:lineRule="auto"/>
              <w:jc w:val="center"/>
              <w:rPr>
                <w:rFonts w:ascii="Times New Roman" w:hAnsi="Times New Roman" w:eastAsia="宋体" w:cs="Times New Roman"/>
                <w:spacing w:val="-13"/>
                <w:sz w:val="22"/>
              </w:rPr>
            </w:pPr>
            <w:r>
              <w:rPr>
                <w:rFonts w:hint="eastAsia" w:ascii="仿宋" w:hAnsi="仿宋" w:eastAsia="仿宋" w:cs="仿宋"/>
                <w:b/>
                <w:bCs/>
                <w:szCs w:val="21"/>
              </w:rPr>
              <w:t>办公费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8DBA">
            <w:pPr>
              <w:pStyle w:val="4"/>
              <w:spacing w:line="201" w:lineRule="auto"/>
              <w:rPr>
                <w:spacing w:val="-3"/>
                <w:sz w:val="21"/>
                <w:szCs w:val="21"/>
                <w:lang w:eastAsia="zh-CN"/>
              </w:rPr>
            </w:pPr>
            <w:r>
              <w:rPr>
                <w:rFonts w:hint="eastAsia"/>
                <w:spacing w:val="-3"/>
                <w:sz w:val="21"/>
                <w:szCs w:val="21"/>
                <w:lang w:eastAsia="zh-CN"/>
              </w:rPr>
              <w:t>指单位购买按财务会计制度规定不符合固定资产确认标准的日常办公用品、书报杂志等支出。</w:t>
            </w:r>
          </w:p>
        </w:tc>
      </w:tr>
      <w:tr w14:paraId="667DE9C0">
        <w:tblPrEx>
          <w:tblCellMar>
            <w:top w:w="0" w:type="dxa"/>
            <w:left w:w="0" w:type="dxa"/>
            <w:bottom w:w="0" w:type="dxa"/>
            <w:right w:w="0" w:type="dxa"/>
          </w:tblCellMar>
        </w:tblPrEx>
        <w:trPr>
          <w:trHeight w:val="43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0E01">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2</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797F">
            <w:pPr>
              <w:pStyle w:val="4"/>
              <w:spacing w:line="201" w:lineRule="auto"/>
              <w:jc w:val="center"/>
              <w:rPr>
                <w:b/>
                <w:bCs/>
                <w:sz w:val="21"/>
                <w:szCs w:val="21"/>
                <w:lang w:eastAsia="zh-CN"/>
              </w:rPr>
            </w:pPr>
            <w:r>
              <w:rPr>
                <w:rFonts w:hint="eastAsia"/>
                <w:b/>
                <w:bCs/>
                <w:sz w:val="21"/>
                <w:szCs w:val="21"/>
                <w:lang w:eastAsia="zh-CN"/>
              </w:rPr>
              <w:t>印刷费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F7B6">
            <w:pPr>
              <w:pStyle w:val="4"/>
              <w:spacing w:line="201" w:lineRule="auto"/>
              <w:rPr>
                <w:spacing w:val="-3"/>
                <w:sz w:val="21"/>
                <w:szCs w:val="21"/>
                <w:lang w:eastAsia="zh-CN"/>
              </w:rPr>
            </w:pPr>
            <w:r>
              <w:rPr>
                <w:rFonts w:hint="eastAsia"/>
                <w:spacing w:val="-3"/>
                <w:sz w:val="21"/>
                <w:szCs w:val="21"/>
                <w:lang w:eastAsia="zh-CN"/>
              </w:rPr>
              <w:t>指单位的印刷费支出。</w:t>
            </w:r>
          </w:p>
        </w:tc>
      </w:tr>
      <w:tr w14:paraId="446B87FB">
        <w:tblPrEx>
          <w:tblCellMar>
            <w:top w:w="0" w:type="dxa"/>
            <w:left w:w="0" w:type="dxa"/>
            <w:bottom w:w="0" w:type="dxa"/>
            <w:right w:w="0" w:type="dxa"/>
          </w:tblCellMar>
        </w:tblPrEx>
        <w:trPr>
          <w:trHeight w:val="42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E501">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3</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A2DE">
            <w:pPr>
              <w:pStyle w:val="4"/>
              <w:spacing w:line="201" w:lineRule="auto"/>
              <w:jc w:val="center"/>
              <w:rPr>
                <w:b/>
                <w:bCs/>
                <w:sz w:val="21"/>
                <w:szCs w:val="21"/>
                <w:lang w:eastAsia="zh-CN"/>
              </w:rPr>
            </w:pPr>
            <w:r>
              <w:rPr>
                <w:rFonts w:hint="eastAsia"/>
                <w:b/>
                <w:bCs/>
                <w:sz w:val="21"/>
                <w:szCs w:val="21"/>
                <w:lang w:eastAsia="zh-CN"/>
              </w:rPr>
              <w:t>咨询费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A35F8">
            <w:pPr>
              <w:pStyle w:val="4"/>
              <w:spacing w:line="201" w:lineRule="auto"/>
              <w:rPr>
                <w:spacing w:val="-3"/>
                <w:sz w:val="21"/>
                <w:szCs w:val="21"/>
                <w:lang w:eastAsia="zh-CN"/>
              </w:rPr>
            </w:pPr>
            <w:r>
              <w:rPr>
                <w:rFonts w:hint="eastAsia"/>
                <w:spacing w:val="-3"/>
                <w:sz w:val="21"/>
                <w:szCs w:val="21"/>
                <w:lang w:eastAsia="zh-CN"/>
              </w:rPr>
              <w:t>指单位咨询方面的支出。</w:t>
            </w:r>
          </w:p>
        </w:tc>
      </w:tr>
      <w:tr w14:paraId="4562E7FF">
        <w:tblPrEx>
          <w:tblCellMar>
            <w:top w:w="0" w:type="dxa"/>
            <w:left w:w="0" w:type="dxa"/>
            <w:bottom w:w="0" w:type="dxa"/>
            <w:right w:w="0"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B23F">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4</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CBBD">
            <w:pPr>
              <w:pStyle w:val="4"/>
              <w:spacing w:line="201" w:lineRule="auto"/>
              <w:jc w:val="center"/>
              <w:rPr>
                <w:b/>
                <w:bCs/>
                <w:sz w:val="21"/>
                <w:szCs w:val="21"/>
                <w:lang w:eastAsia="zh-CN"/>
              </w:rPr>
            </w:pPr>
            <w:r>
              <w:rPr>
                <w:rFonts w:hint="eastAsia"/>
                <w:b/>
                <w:bCs/>
                <w:sz w:val="21"/>
                <w:szCs w:val="21"/>
                <w:lang w:eastAsia="zh-CN"/>
              </w:rPr>
              <w:t>手续费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6CC9D">
            <w:pPr>
              <w:pStyle w:val="4"/>
              <w:spacing w:line="201" w:lineRule="auto"/>
              <w:rPr>
                <w:spacing w:val="-3"/>
                <w:sz w:val="21"/>
                <w:szCs w:val="21"/>
                <w:lang w:eastAsia="zh-CN"/>
              </w:rPr>
            </w:pPr>
            <w:r>
              <w:rPr>
                <w:rFonts w:hint="eastAsia"/>
                <w:spacing w:val="-3"/>
                <w:sz w:val="21"/>
                <w:szCs w:val="21"/>
                <w:lang w:eastAsia="zh-CN"/>
              </w:rPr>
              <w:t>指单位支付的手续费支出。</w:t>
            </w:r>
          </w:p>
        </w:tc>
      </w:tr>
      <w:tr w14:paraId="042E27B6">
        <w:tblPrEx>
          <w:tblCellMar>
            <w:top w:w="0" w:type="dxa"/>
            <w:left w:w="0" w:type="dxa"/>
            <w:bottom w:w="0" w:type="dxa"/>
            <w:right w:w="0" w:type="dxa"/>
          </w:tblCellMar>
        </w:tblPrEx>
        <w:trPr>
          <w:trHeight w:val="4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17CD">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5</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B92E">
            <w:pPr>
              <w:pStyle w:val="4"/>
              <w:spacing w:line="201" w:lineRule="auto"/>
              <w:jc w:val="center"/>
              <w:rPr>
                <w:b/>
                <w:bCs/>
                <w:sz w:val="21"/>
                <w:szCs w:val="21"/>
                <w:lang w:eastAsia="zh-CN"/>
              </w:rPr>
            </w:pPr>
            <w:r>
              <w:rPr>
                <w:rFonts w:hint="eastAsia"/>
                <w:b/>
                <w:bCs/>
                <w:sz w:val="21"/>
                <w:szCs w:val="21"/>
                <w:lang w:eastAsia="zh-CN"/>
              </w:rPr>
              <w:t>水电费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E9B04">
            <w:pPr>
              <w:pStyle w:val="4"/>
              <w:spacing w:line="201" w:lineRule="auto"/>
              <w:rPr>
                <w:spacing w:val="-3"/>
                <w:sz w:val="21"/>
                <w:szCs w:val="21"/>
                <w:lang w:eastAsia="zh-CN"/>
              </w:rPr>
            </w:pPr>
            <w:r>
              <w:rPr>
                <w:rFonts w:hint="eastAsia"/>
                <w:spacing w:val="-3"/>
                <w:sz w:val="21"/>
                <w:szCs w:val="21"/>
                <w:lang w:eastAsia="zh-CN"/>
              </w:rPr>
              <w:t>指单位支付的水电费支出。</w:t>
            </w:r>
          </w:p>
        </w:tc>
      </w:tr>
      <w:tr w14:paraId="7D14720F">
        <w:tblPrEx>
          <w:tblCellMar>
            <w:top w:w="0" w:type="dxa"/>
            <w:left w:w="0" w:type="dxa"/>
            <w:bottom w:w="0" w:type="dxa"/>
            <w:right w:w="0"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D1F2">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6</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513F">
            <w:pPr>
              <w:pStyle w:val="4"/>
              <w:spacing w:line="201" w:lineRule="auto"/>
              <w:jc w:val="center"/>
              <w:rPr>
                <w:b/>
                <w:bCs/>
                <w:sz w:val="21"/>
                <w:szCs w:val="21"/>
                <w:lang w:eastAsia="zh-CN"/>
              </w:rPr>
            </w:pPr>
            <w:r>
              <w:rPr>
                <w:rFonts w:hint="eastAsia"/>
                <w:b/>
                <w:bCs/>
                <w:sz w:val="21"/>
                <w:szCs w:val="21"/>
                <w:lang w:eastAsia="zh-CN"/>
              </w:rPr>
              <w:t>邮电费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BBDB">
            <w:pPr>
              <w:pStyle w:val="4"/>
              <w:spacing w:line="201" w:lineRule="auto"/>
              <w:rPr>
                <w:spacing w:val="-3"/>
                <w:sz w:val="21"/>
                <w:szCs w:val="21"/>
                <w:lang w:eastAsia="zh-CN"/>
              </w:rPr>
            </w:pPr>
            <w:r>
              <w:rPr>
                <w:rFonts w:hint="eastAsia"/>
                <w:spacing w:val="-3"/>
                <w:sz w:val="21"/>
                <w:szCs w:val="21"/>
                <w:lang w:eastAsia="zh-CN"/>
              </w:rPr>
              <w:t>指单位开支的电话费、电报费、传真费、网络通讯费等支出。</w:t>
            </w:r>
          </w:p>
        </w:tc>
      </w:tr>
      <w:tr w14:paraId="18DC7F06">
        <w:tblPrEx>
          <w:tblCellMar>
            <w:top w:w="0" w:type="dxa"/>
            <w:left w:w="0" w:type="dxa"/>
            <w:bottom w:w="0" w:type="dxa"/>
            <w:right w:w="0" w:type="dxa"/>
          </w:tblCellMar>
        </w:tblPrEx>
        <w:trPr>
          <w:trHeight w:val="6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6369B">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7</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70FF">
            <w:pPr>
              <w:pStyle w:val="4"/>
              <w:spacing w:line="201" w:lineRule="auto"/>
              <w:jc w:val="center"/>
              <w:rPr>
                <w:b/>
                <w:bCs/>
                <w:sz w:val="21"/>
                <w:szCs w:val="21"/>
                <w:lang w:eastAsia="zh-CN"/>
              </w:rPr>
            </w:pPr>
            <w:r>
              <w:rPr>
                <w:rFonts w:hint="eastAsia"/>
                <w:b/>
                <w:bCs/>
                <w:sz w:val="21"/>
                <w:szCs w:val="21"/>
                <w:lang w:eastAsia="zh-CN"/>
              </w:rPr>
              <w:t>物业管理费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5EE7">
            <w:pPr>
              <w:pStyle w:val="4"/>
              <w:spacing w:line="201" w:lineRule="auto"/>
              <w:rPr>
                <w:spacing w:val="-3"/>
                <w:sz w:val="21"/>
                <w:szCs w:val="21"/>
                <w:lang w:eastAsia="zh-CN"/>
              </w:rPr>
            </w:pPr>
            <w:r>
              <w:rPr>
                <w:rFonts w:hint="eastAsia"/>
                <w:spacing w:val="-3"/>
                <w:sz w:val="21"/>
                <w:szCs w:val="21"/>
                <w:lang w:eastAsia="zh-CN"/>
              </w:rPr>
              <w:t>指单位开支的办公用房、职工及离退休人员宿舍等的物业管理费，包括综合治理、绿化、卫生等方面的支出。</w:t>
            </w:r>
          </w:p>
        </w:tc>
      </w:tr>
      <w:tr w14:paraId="1857F2C0">
        <w:tblPrEx>
          <w:tblCellMar>
            <w:top w:w="0" w:type="dxa"/>
            <w:left w:w="0" w:type="dxa"/>
            <w:bottom w:w="0" w:type="dxa"/>
            <w:right w:w="0"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F899">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8</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07AB8">
            <w:pPr>
              <w:pStyle w:val="4"/>
              <w:spacing w:line="201" w:lineRule="auto"/>
              <w:jc w:val="center"/>
              <w:rPr>
                <w:b/>
                <w:bCs/>
                <w:sz w:val="21"/>
                <w:szCs w:val="21"/>
                <w:lang w:eastAsia="zh-CN"/>
              </w:rPr>
            </w:pPr>
            <w:r>
              <w:rPr>
                <w:rFonts w:hint="eastAsia"/>
                <w:b/>
                <w:bCs/>
                <w:sz w:val="21"/>
                <w:szCs w:val="21"/>
                <w:lang w:eastAsia="zh-CN"/>
              </w:rPr>
              <w:t>差旅费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8B20">
            <w:pPr>
              <w:pStyle w:val="4"/>
              <w:spacing w:line="201" w:lineRule="auto"/>
              <w:rPr>
                <w:spacing w:val="-3"/>
                <w:sz w:val="21"/>
                <w:szCs w:val="21"/>
                <w:lang w:eastAsia="zh-CN"/>
              </w:rPr>
            </w:pPr>
            <w:r>
              <w:rPr>
                <w:rFonts w:hint="eastAsia"/>
                <w:spacing w:val="-3"/>
                <w:sz w:val="21"/>
                <w:szCs w:val="21"/>
                <w:lang w:eastAsia="zh-CN"/>
              </w:rPr>
              <w:t>指单位工作人员因出差支付的住宿费、购买机票支出等。</w:t>
            </w:r>
          </w:p>
        </w:tc>
      </w:tr>
      <w:tr w14:paraId="15D7FD34">
        <w:tblPrEx>
          <w:tblCellMar>
            <w:top w:w="0" w:type="dxa"/>
            <w:left w:w="0" w:type="dxa"/>
            <w:bottom w:w="0" w:type="dxa"/>
            <w:right w:w="0" w:type="dxa"/>
          </w:tblCellMar>
        </w:tblPrEx>
        <w:trPr>
          <w:trHeight w:val="6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6FF2">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9</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5F800">
            <w:pPr>
              <w:pStyle w:val="4"/>
              <w:spacing w:line="201" w:lineRule="auto"/>
              <w:jc w:val="center"/>
              <w:rPr>
                <w:b/>
                <w:bCs/>
                <w:sz w:val="21"/>
                <w:szCs w:val="21"/>
                <w:lang w:eastAsia="zh-CN"/>
              </w:rPr>
            </w:pPr>
            <w:r>
              <w:rPr>
                <w:rFonts w:hint="eastAsia"/>
                <w:b/>
                <w:bCs/>
                <w:sz w:val="21"/>
                <w:szCs w:val="21"/>
                <w:lang w:eastAsia="zh-CN"/>
              </w:rPr>
              <w:t>维修（护）费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4C0C">
            <w:pPr>
              <w:pStyle w:val="4"/>
              <w:spacing w:line="201" w:lineRule="auto"/>
              <w:rPr>
                <w:spacing w:val="-3"/>
                <w:sz w:val="21"/>
                <w:szCs w:val="21"/>
                <w:lang w:eastAsia="zh-CN"/>
              </w:rPr>
            </w:pPr>
            <w:r>
              <w:rPr>
                <w:rFonts w:hint="eastAsia"/>
                <w:spacing w:val="-3"/>
                <w:sz w:val="21"/>
                <w:szCs w:val="21"/>
                <w:lang w:eastAsia="zh-CN"/>
              </w:rPr>
              <w:t>指单位日常开支的固定资产（不包括车船等交通工具）修理和维护费用，网络信息系统运行与维护费用。</w:t>
            </w:r>
          </w:p>
        </w:tc>
      </w:tr>
      <w:tr w14:paraId="6C40C1FE">
        <w:tblPrEx>
          <w:tblCellMar>
            <w:top w:w="0" w:type="dxa"/>
            <w:left w:w="0" w:type="dxa"/>
            <w:bottom w:w="0" w:type="dxa"/>
            <w:right w:w="0" w:type="dxa"/>
          </w:tblCellMar>
        </w:tblPrEx>
        <w:trPr>
          <w:trHeight w:val="46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C188">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10</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2F45A">
            <w:pPr>
              <w:pStyle w:val="4"/>
              <w:spacing w:line="201" w:lineRule="auto"/>
              <w:jc w:val="center"/>
              <w:rPr>
                <w:b/>
                <w:bCs/>
                <w:sz w:val="21"/>
                <w:szCs w:val="21"/>
                <w:lang w:eastAsia="zh-CN"/>
              </w:rPr>
            </w:pPr>
            <w:r>
              <w:rPr>
                <w:rFonts w:hint="eastAsia"/>
                <w:b/>
                <w:bCs/>
                <w:sz w:val="21"/>
                <w:szCs w:val="21"/>
                <w:lang w:eastAsia="zh-CN"/>
              </w:rPr>
              <w:t>租赁费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5809">
            <w:pPr>
              <w:pStyle w:val="4"/>
              <w:spacing w:line="201" w:lineRule="auto"/>
              <w:rPr>
                <w:spacing w:val="-3"/>
                <w:sz w:val="21"/>
                <w:szCs w:val="21"/>
                <w:lang w:eastAsia="zh-CN"/>
              </w:rPr>
            </w:pPr>
            <w:r>
              <w:rPr>
                <w:rFonts w:hint="eastAsia"/>
                <w:spacing w:val="-3"/>
                <w:sz w:val="21"/>
                <w:szCs w:val="21"/>
                <w:lang w:eastAsia="zh-CN"/>
              </w:rPr>
              <w:t>指租赁办公用房、宿舍、专用通讯网以及其他设备方面的费用。</w:t>
            </w:r>
          </w:p>
        </w:tc>
      </w:tr>
      <w:tr w14:paraId="48BB7725">
        <w:tblPrEx>
          <w:tblCellMar>
            <w:top w:w="0" w:type="dxa"/>
            <w:left w:w="0" w:type="dxa"/>
            <w:bottom w:w="0" w:type="dxa"/>
            <w:right w:w="0" w:type="dxa"/>
          </w:tblCellMar>
        </w:tblPrEx>
        <w:trPr>
          <w:trHeight w:val="5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3C5C">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11</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F343">
            <w:pPr>
              <w:pStyle w:val="4"/>
              <w:spacing w:line="201" w:lineRule="auto"/>
              <w:jc w:val="center"/>
              <w:rPr>
                <w:b/>
                <w:bCs/>
                <w:sz w:val="21"/>
                <w:szCs w:val="21"/>
                <w:lang w:eastAsia="zh-CN"/>
              </w:rPr>
            </w:pPr>
            <w:r>
              <w:rPr>
                <w:rFonts w:hint="eastAsia"/>
                <w:b/>
                <w:bCs/>
                <w:sz w:val="21"/>
                <w:szCs w:val="21"/>
                <w:lang w:eastAsia="zh-CN"/>
              </w:rPr>
              <w:t>会议费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40077">
            <w:pPr>
              <w:pStyle w:val="4"/>
              <w:spacing w:line="201" w:lineRule="auto"/>
              <w:rPr>
                <w:spacing w:val="-3"/>
                <w:sz w:val="21"/>
                <w:szCs w:val="21"/>
                <w:lang w:eastAsia="zh-CN"/>
              </w:rPr>
            </w:pPr>
            <w:r>
              <w:rPr>
                <w:rFonts w:hint="eastAsia"/>
                <w:spacing w:val="-3"/>
                <w:sz w:val="21"/>
                <w:szCs w:val="21"/>
                <w:lang w:eastAsia="zh-CN"/>
              </w:rPr>
              <w:t>指会议中按规定开支的房租费、伙食补助费以及文件资料的印刷费、会议场地租用费等。</w:t>
            </w:r>
          </w:p>
        </w:tc>
      </w:tr>
      <w:tr w14:paraId="7DDD4D20">
        <w:tblPrEx>
          <w:tblCellMar>
            <w:top w:w="0" w:type="dxa"/>
            <w:left w:w="0" w:type="dxa"/>
            <w:bottom w:w="0" w:type="dxa"/>
            <w:right w:w="0" w:type="dxa"/>
          </w:tblCellMar>
        </w:tblPrEx>
        <w:trPr>
          <w:trHeight w:val="5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3A8F">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12</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9961">
            <w:pPr>
              <w:pStyle w:val="4"/>
              <w:spacing w:line="201" w:lineRule="auto"/>
              <w:jc w:val="center"/>
              <w:rPr>
                <w:b/>
                <w:bCs/>
                <w:sz w:val="21"/>
                <w:szCs w:val="21"/>
                <w:lang w:eastAsia="zh-CN"/>
              </w:rPr>
            </w:pPr>
            <w:r>
              <w:rPr>
                <w:rFonts w:hint="eastAsia"/>
                <w:b/>
                <w:bCs/>
                <w:sz w:val="21"/>
                <w:szCs w:val="21"/>
                <w:lang w:eastAsia="zh-CN"/>
              </w:rPr>
              <w:t>培训费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255D">
            <w:pPr>
              <w:pStyle w:val="4"/>
              <w:spacing w:line="201" w:lineRule="auto"/>
              <w:rPr>
                <w:spacing w:val="-3"/>
                <w:sz w:val="21"/>
                <w:szCs w:val="21"/>
                <w:lang w:eastAsia="zh-CN"/>
              </w:rPr>
            </w:pPr>
            <w:r>
              <w:rPr>
                <w:rFonts w:hint="eastAsia"/>
                <w:spacing w:val="-3"/>
                <w:sz w:val="21"/>
                <w:szCs w:val="21"/>
                <w:lang w:eastAsia="zh-CN"/>
              </w:rPr>
              <w:t>指各类培训支出。</w:t>
            </w:r>
          </w:p>
        </w:tc>
      </w:tr>
      <w:tr w14:paraId="46CA770A">
        <w:tblPrEx>
          <w:tblCellMar>
            <w:top w:w="0" w:type="dxa"/>
            <w:left w:w="0" w:type="dxa"/>
            <w:bottom w:w="0" w:type="dxa"/>
            <w:right w:w="0"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D7EF">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13</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EAC7B">
            <w:pPr>
              <w:pStyle w:val="4"/>
              <w:spacing w:line="201" w:lineRule="auto"/>
              <w:jc w:val="center"/>
              <w:rPr>
                <w:b/>
                <w:bCs/>
                <w:sz w:val="21"/>
                <w:szCs w:val="21"/>
                <w:lang w:eastAsia="zh-CN"/>
              </w:rPr>
            </w:pPr>
            <w:r>
              <w:rPr>
                <w:rFonts w:hint="eastAsia"/>
                <w:b/>
                <w:bCs/>
                <w:sz w:val="21"/>
                <w:szCs w:val="21"/>
                <w:lang w:eastAsia="zh-CN"/>
              </w:rPr>
              <w:t>公务接待费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3D08">
            <w:pPr>
              <w:pStyle w:val="4"/>
              <w:spacing w:line="201" w:lineRule="auto"/>
              <w:rPr>
                <w:spacing w:val="-3"/>
                <w:sz w:val="21"/>
                <w:szCs w:val="21"/>
                <w:lang w:eastAsia="zh-CN"/>
              </w:rPr>
            </w:pPr>
            <w:r>
              <w:rPr>
                <w:rFonts w:hint="eastAsia"/>
                <w:spacing w:val="-3"/>
                <w:sz w:val="21"/>
                <w:szCs w:val="21"/>
                <w:lang w:eastAsia="zh-CN"/>
              </w:rPr>
              <w:t>指单位按规定开支的各类公务接待（含外宾接待）费用。</w:t>
            </w:r>
          </w:p>
        </w:tc>
      </w:tr>
      <w:tr w14:paraId="51850DCB">
        <w:tblPrEx>
          <w:tblCellMar>
            <w:top w:w="0" w:type="dxa"/>
            <w:left w:w="0" w:type="dxa"/>
            <w:bottom w:w="0" w:type="dxa"/>
            <w:right w:w="0" w:type="dxa"/>
          </w:tblCellMar>
        </w:tblPrEx>
        <w:trPr>
          <w:trHeight w:val="121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597B">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14</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1DF3">
            <w:pPr>
              <w:pStyle w:val="4"/>
              <w:spacing w:line="201" w:lineRule="auto"/>
              <w:jc w:val="center"/>
              <w:rPr>
                <w:b/>
                <w:bCs/>
                <w:sz w:val="21"/>
                <w:szCs w:val="21"/>
                <w:lang w:eastAsia="zh-CN"/>
              </w:rPr>
            </w:pPr>
            <w:r>
              <w:rPr>
                <w:rFonts w:hint="eastAsia"/>
                <w:b/>
                <w:bCs/>
                <w:sz w:val="21"/>
                <w:szCs w:val="21"/>
                <w:lang w:eastAsia="zh-CN"/>
              </w:rPr>
              <w:t>专用材料费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4412">
            <w:pPr>
              <w:pStyle w:val="4"/>
              <w:spacing w:line="201" w:lineRule="auto"/>
              <w:rPr>
                <w:spacing w:val="-3"/>
                <w:sz w:val="21"/>
                <w:szCs w:val="21"/>
                <w:lang w:eastAsia="zh-CN"/>
              </w:rPr>
            </w:pPr>
            <w:r>
              <w:rPr>
                <w:rFonts w:hint="eastAsia"/>
                <w:spacing w:val="-3"/>
                <w:sz w:val="21"/>
                <w:szCs w:val="21"/>
                <w:lang w:eastAsia="zh-CN"/>
              </w:rPr>
              <w:t>指单位购买日常专用材料的零星支出。具体包括药品及医疗耗材，农用材料，兽医用品，实验室用品，专用服装，消耗性体育用品，专用工具和仪器，艺术部门专用材料和用品，广播电视台发射台发射机的电力、材料等方面的支出。</w:t>
            </w:r>
          </w:p>
        </w:tc>
      </w:tr>
      <w:tr w14:paraId="5ED92535">
        <w:tblPrEx>
          <w:tblCellMar>
            <w:top w:w="0" w:type="dxa"/>
            <w:left w:w="0" w:type="dxa"/>
            <w:bottom w:w="0" w:type="dxa"/>
            <w:right w:w="0" w:type="dxa"/>
          </w:tblCellMar>
        </w:tblPrEx>
        <w:trPr>
          <w:trHeight w:val="5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A9228">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15</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FC52">
            <w:pPr>
              <w:pStyle w:val="4"/>
              <w:spacing w:line="201" w:lineRule="auto"/>
              <w:jc w:val="center"/>
              <w:rPr>
                <w:b/>
                <w:bCs/>
                <w:sz w:val="21"/>
                <w:szCs w:val="21"/>
                <w:lang w:eastAsia="zh-CN"/>
              </w:rPr>
            </w:pPr>
            <w:r>
              <w:rPr>
                <w:rFonts w:hint="eastAsia"/>
                <w:b/>
                <w:bCs/>
                <w:sz w:val="21"/>
                <w:szCs w:val="21"/>
                <w:lang w:eastAsia="zh-CN"/>
              </w:rPr>
              <w:t>公务用车运行维护费</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B3BB">
            <w:pPr>
              <w:pStyle w:val="4"/>
              <w:spacing w:line="201" w:lineRule="auto"/>
              <w:rPr>
                <w:spacing w:val="-3"/>
                <w:sz w:val="21"/>
                <w:szCs w:val="21"/>
                <w:lang w:eastAsia="zh-CN"/>
              </w:rPr>
            </w:pPr>
            <w:r>
              <w:rPr>
                <w:rFonts w:hint="eastAsia"/>
                <w:spacing w:val="-3"/>
                <w:sz w:val="21"/>
                <w:szCs w:val="21"/>
                <w:lang w:eastAsia="zh-CN"/>
              </w:rPr>
              <w:t>指公务用车的燃料费、维修费、保险费等支出。</w:t>
            </w:r>
          </w:p>
        </w:tc>
      </w:tr>
      <w:tr w14:paraId="527633BA">
        <w:tblPrEx>
          <w:tblCellMar>
            <w:top w:w="0" w:type="dxa"/>
            <w:left w:w="0" w:type="dxa"/>
            <w:bottom w:w="0" w:type="dxa"/>
            <w:right w:w="0" w:type="dxa"/>
          </w:tblCellMar>
        </w:tblPrEx>
        <w:trPr>
          <w:trHeight w:val="76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D062">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16</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3E517">
            <w:pPr>
              <w:pStyle w:val="4"/>
              <w:spacing w:line="201" w:lineRule="auto"/>
              <w:jc w:val="center"/>
              <w:rPr>
                <w:b/>
                <w:bCs/>
                <w:sz w:val="21"/>
                <w:szCs w:val="21"/>
                <w:lang w:eastAsia="zh-CN"/>
              </w:rPr>
            </w:pPr>
            <w:r>
              <w:rPr>
                <w:rFonts w:hint="eastAsia"/>
                <w:b/>
                <w:bCs/>
                <w:sz w:val="21"/>
                <w:szCs w:val="21"/>
                <w:lang w:eastAsia="zh-CN"/>
              </w:rPr>
              <w:t>其他交通费用</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02AE">
            <w:pPr>
              <w:pStyle w:val="4"/>
              <w:spacing w:line="201" w:lineRule="auto"/>
              <w:rPr>
                <w:spacing w:val="-3"/>
                <w:sz w:val="21"/>
                <w:szCs w:val="21"/>
                <w:lang w:eastAsia="zh-CN"/>
              </w:rPr>
            </w:pPr>
            <w:r>
              <w:rPr>
                <w:rFonts w:hint="eastAsia"/>
                <w:spacing w:val="-3"/>
                <w:sz w:val="21"/>
                <w:szCs w:val="21"/>
                <w:lang w:eastAsia="zh-CN"/>
              </w:rPr>
              <w:t>指单位除公务用车运行维护费以外的其他交通费用。如飞机、船舶等的燃料费、维修费、保险费等。</w:t>
            </w:r>
          </w:p>
        </w:tc>
      </w:tr>
      <w:tr w14:paraId="024B5235">
        <w:tblPrEx>
          <w:tblCellMar>
            <w:top w:w="0" w:type="dxa"/>
            <w:left w:w="0" w:type="dxa"/>
            <w:bottom w:w="0" w:type="dxa"/>
            <w:right w:w="0" w:type="dxa"/>
          </w:tblCellMar>
        </w:tblPrEx>
        <w:trPr>
          <w:trHeight w:val="5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6A8C3">
            <w:pPr>
              <w:spacing w:line="189" w:lineRule="auto"/>
              <w:jc w:val="center"/>
              <w:rPr>
                <w:rFonts w:ascii="Times New Roman" w:hAnsi="Times New Roman" w:eastAsia="宋体" w:cs="Times New Roman"/>
                <w:spacing w:val="-13"/>
                <w:sz w:val="22"/>
              </w:rPr>
            </w:pPr>
            <w:r>
              <w:rPr>
                <w:rFonts w:hint="eastAsia" w:ascii="Times New Roman" w:hAnsi="Times New Roman" w:eastAsia="宋体" w:cs="Times New Roman"/>
                <w:spacing w:val="-13"/>
                <w:sz w:val="22"/>
              </w:rPr>
              <w:t>17</w:t>
            </w:r>
          </w:p>
        </w:tc>
        <w:tc>
          <w:tcPr>
            <w:tcW w:w="2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C8C7">
            <w:pPr>
              <w:pStyle w:val="4"/>
              <w:spacing w:line="201" w:lineRule="auto"/>
              <w:jc w:val="center"/>
              <w:rPr>
                <w:b/>
                <w:bCs/>
                <w:sz w:val="21"/>
                <w:szCs w:val="21"/>
                <w:lang w:eastAsia="zh-CN"/>
              </w:rPr>
            </w:pPr>
            <w:r>
              <w:rPr>
                <w:rFonts w:hint="eastAsia"/>
                <w:b/>
                <w:bCs/>
                <w:sz w:val="21"/>
                <w:szCs w:val="21"/>
                <w:lang w:eastAsia="zh-CN"/>
              </w:rPr>
              <w:t>其他商品和服务支出</w:t>
            </w:r>
          </w:p>
        </w:tc>
        <w:tc>
          <w:tcPr>
            <w:tcW w:w="6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35687">
            <w:pPr>
              <w:pStyle w:val="4"/>
              <w:spacing w:line="201" w:lineRule="auto"/>
              <w:rPr>
                <w:spacing w:val="-3"/>
                <w:sz w:val="21"/>
                <w:szCs w:val="21"/>
                <w:lang w:eastAsia="zh-CN"/>
              </w:rPr>
            </w:pPr>
            <w:r>
              <w:rPr>
                <w:rFonts w:hint="eastAsia"/>
                <w:spacing w:val="-3"/>
                <w:sz w:val="21"/>
                <w:szCs w:val="21"/>
                <w:lang w:eastAsia="zh-CN"/>
              </w:rPr>
              <w:t>指上述未包括的日常公务零星支出。</w:t>
            </w:r>
          </w:p>
        </w:tc>
      </w:tr>
    </w:tbl>
    <w:p w14:paraId="4815F57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0C59"/>
    <w:rsid w:val="04D443F3"/>
    <w:rsid w:val="060E71D0"/>
    <w:rsid w:val="08215D4A"/>
    <w:rsid w:val="0C5A3958"/>
    <w:rsid w:val="117129B1"/>
    <w:rsid w:val="16D8009D"/>
    <w:rsid w:val="1C486111"/>
    <w:rsid w:val="1EA358E6"/>
    <w:rsid w:val="1EFD0C26"/>
    <w:rsid w:val="22636DB2"/>
    <w:rsid w:val="23DA6055"/>
    <w:rsid w:val="2C0C7617"/>
    <w:rsid w:val="32A55AB1"/>
    <w:rsid w:val="334A660B"/>
    <w:rsid w:val="40B72999"/>
    <w:rsid w:val="40E42467"/>
    <w:rsid w:val="45027CA5"/>
    <w:rsid w:val="472B16DD"/>
    <w:rsid w:val="48A35D40"/>
    <w:rsid w:val="48CF5275"/>
    <w:rsid w:val="49E375BF"/>
    <w:rsid w:val="4ABE1299"/>
    <w:rsid w:val="4ABF017A"/>
    <w:rsid w:val="50CC2F97"/>
    <w:rsid w:val="55AF71D3"/>
    <w:rsid w:val="55DA6304"/>
    <w:rsid w:val="56317677"/>
    <w:rsid w:val="58175E44"/>
    <w:rsid w:val="5F3C0507"/>
    <w:rsid w:val="63EC6CFA"/>
    <w:rsid w:val="654049AA"/>
    <w:rsid w:val="65651501"/>
    <w:rsid w:val="68A65BD5"/>
    <w:rsid w:val="68E572E2"/>
    <w:rsid w:val="6A814460"/>
    <w:rsid w:val="6DD160DC"/>
    <w:rsid w:val="6DE533A6"/>
    <w:rsid w:val="6E5C0625"/>
    <w:rsid w:val="70A949A1"/>
    <w:rsid w:val="72135BC9"/>
    <w:rsid w:val="723B6911"/>
    <w:rsid w:val="72D3259D"/>
    <w:rsid w:val="7380692E"/>
    <w:rsid w:val="74756574"/>
    <w:rsid w:val="74864ADF"/>
    <w:rsid w:val="74CD7F84"/>
    <w:rsid w:val="79404AD6"/>
    <w:rsid w:val="7C91488D"/>
    <w:rsid w:val="7D650E08"/>
    <w:rsid w:val="7FAB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2025-03-17T07:05:00Z</dcterms:created>
  <dc:creator>Administrator</dc:creator>
  <cp:lastModifiedBy>张圆</cp:lastModifiedBy>
  <dcterms:modified xsi:type="dcterms:W3CDTF">2025-11-21T07:41:28Z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61ED176107CA4E8FA58A988D30CFF4BC_12</vt:lpwstr>
  </property>
  <property fmtid="{D5CDD505-2E9C-101B-9397-08002B2CF9AE}" pid="4" name="KSOTemplateDocerSaveRecord">
    <vt:lpwstr>eyJoZGlkIjoiOGQzOWY3MGZhYjZkOTliMTA2NTZhZDM3YzViZWJhNjIiLCJ1c2VySWQiOiIxNjEzODMyNzcwIn0=</vt:lpwstr>
  </property>
</Properties>
</file>